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1000" w:lineRule="exact"/>
        <w:ind w:firstLine="522" w:firstLineChars="100"/>
        <w:jc w:val="center"/>
        <w:textAlignment w:val="auto"/>
        <w:rPr>
          <w:rFonts w:hint="default" w:ascii="宋体" w:hAnsi="宋体" w:eastAsia="宋体" w:cs="宋体"/>
          <w:b/>
          <w:bCs/>
          <w:color w:val="auto"/>
          <w:sz w:val="52"/>
          <w:szCs w:val="52"/>
          <w:highlight w:val="none"/>
          <w:shd w:val="clear" w:color="auto" w:fill="FFFFFF"/>
          <w:lang w:val="en-US" w:eastAsia="zh-CN"/>
        </w:rPr>
      </w:pPr>
      <w:bookmarkStart w:id="0" w:name="_Toc263956361"/>
      <w:r>
        <w:rPr>
          <w:rFonts w:hint="eastAsia" w:ascii="宋体" w:hAnsi="宋体" w:eastAsia="宋体" w:cs="宋体"/>
          <w:b/>
          <w:bCs/>
          <w:color w:val="auto"/>
          <w:sz w:val="52"/>
          <w:szCs w:val="52"/>
          <w:highlight w:val="none"/>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1000" w:lineRule="exact"/>
        <w:ind w:firstLine="522" w:firstLineChars="100"/>
        <w:jc w:val="center"/>
        <w:textAlignment w:val="auto"/>
        <w:rPr>
          <w:rFonts w:hint="eastAsia" w:ascii="宋体" w:hAnsi="宋体" w:eastAsia="宋体" w:cs="宋体"/>
          <w:b/>
          <w:bCs/>
          <w:color w:val="auto"/>
          <w:sz w:val="52"/>
          <w:szCs w:val="52"/>
          <w:highlight w:val="none"/>
          <w:shd w:val="clear" w:color="auto" w:fill="FFFFFF"/>
          <w:lang w:eastAsia="zh-CN"/>
        </w:rPr>
      </w:pPr>
      <w:r>
        <w:rPr>
          <w:rFonts w:hint="eastAsia" w:ascii="宋体" w:hAnsi="宋体" w:eastAsia="宋体" w:cs="宋体"/>
          <w:b/>
          <w:bCs/>
          <w:color w:val="auto"/>
          <w:sz w:val="52"/>
          <w:szCs w:val="52"/>
          <w:highlight w:val="none"/>
          <w:shd w:val="clear" w:color="auto" w:fill="FFFFFF"/>
          <w:lang w:eastAsia="zh-CN"/>
        </w:rPr>
        <w:t>金华市医疗保障中心</w:t>
      </w:r>
    </w:p>
    <w:p>
      <w:pPr>
        <w:keepNext w:val="0"/>
        <w:keepLines w:val="0"/>
        <w:pageBreakBefore w:val="0"/>
        <w:widowControl/>
        <w:kinsoku/>
        <w:wordWrap/>
        <w:overflowPunct/>
        <w:topLinePunct w:val="0"/>
        <w:autoSpaceDE/>
        <w:autoSpaceDN/>
        <w:bidi w:val="0"/>
        <w:adjustRightInd w:val="0"/>
        <w:snapToGrid w:val="0"/>
        <w:spacing w:line="1000" w:lineRule="exact"/>
        <w:ind w:firstLine="522" w:firstLineChars="100"/>
        <w:jc w:val="center"/>
        <w:textAlignment w:val="auto"/>
        <w:rPr>
          <w:rFonts w:hint="eastAsia" w:ascii="宋体" w:hAnsi="宋体" w:eastAsia="宋体" w:cs="宋体"/>
          <w:b/>
          <w:bCs/>
          <w:color w:val="auto"/>
          <w:sz w:val="52"/>
          <w:szCs w:val="52"/>
          <w:highlight w:val="none"/>
          <w:shd w:val="clear" w:color="auto" w:fill="FFFFFF"/>
          <w:lang w:eastAsia="zh-CN"/>
        </w:rPr>
      </w:pPr>
      <w:r>
        <w:rPr>
          <w:rFonts w:hint="eastAsia" w:ascii="宋体" w:hAnsi="宋体" w:eastAsia="宋体" w:cs="宋体"/>
          <w:b/>
          <w:bCs/>
          <w:color w:val="auto"/>
          <w:sz w:val="52"/>
          <w:szCs w:val="52"/>
          <w:highlight w:val="none"/>
          <w:shd w:val="clear" w:color="auto" w:fill="FFFFFF"/>
          <w:lang w:eastAsia="zh-CN"/>
        </w:rPr>
        <w:t>年度采购项目委托代理机构服务项目</w:t>
      </w:r>
    </w:p>
    <w:p>
      <w:pPr>
        <w:spacing w:line="2000" w:lineRule="exact"/>
        <w:jc w:val="center"/>
        <w:rPr>
          <w:rFonts w:hint="eastAsia" w:ascii="黑体" w:hAnsi="黑体" w:eastAsia="黑体" w:cs="黑体"/>
          <w:color w:val="auto"/>
          <w:sz w:val="72"/>
          <w:szCs w:val="72"/>
          <w:highlight w:val="none"/>
        </w:rPr>
      </w:pPr>
      <w:r>
        <w:rPr>
          <w:rFonts w:hint="eastAsia" w:ascii="黑体" w:hAnsi="黑体" w:eastAsia="黑体" w:cs="黑体"/>
          <w:color w:val="auto"/>
          <w:sz w:val="72"/>
          <w:szCs w:val="72"/>
          <w:highlight w:val="none"/>
        </w:rPr>
        <w:t>公开招标文件</w:t>
      </w:r>
    </w:p>
    <w:p>
      <w:pPr>
        <w:spacing w:line="440" w:lineRule="exact"/>
        <w:rPr>
          <w:rFonts w:hint="eastAsia" w:ascii="宋体" w:hAnsi="宋体" w:eastAsia="宋体" w:cs="宋体"/>
          <w:color w:val="auto"/>
          <w:sz w:val="32"/>
          <w:szCs w:val="32"/>
          <w:highlight w:val="none"/>
        </w:rPr>
      </w:pPr>
      <w:r>
        <w:rPr>
          <w:rFonts w:hint="eastAsia" w:ascii="宋体" w:hAnsi="宋体" w:eastAsia="宋体" w:cs="宋体"/>
          <w:color w:val="auto"/>
          <w:highlight w:val="none"/>
        </w:rPr>
        <w:t xml:space="preserve">                           </w:t>
      </w:r>
    </w:p>
    <w:p>
      <w:pPr>
        <w:spacing w:line="440" w:lineRule="exact"/>
        <w:rPr>
          <w:rFonts w:hint="eastAsia" w:ascii="宋体" w:hAnsi="宋体" w:eastAsia="宋体" w:cs="宋体"/>
          <w:color w:val="auto"/>
          <w:sz w:val="32"/>
          <w:szCs w:val="32"/>
          <w:highlight w:val="none"/>
        </w:rPr>
      </w:pPr>
    </w:p>
    <w:p>
      <w:pPr>
        <w:pStyle w:val="9"/>
        <w:rPr>
          <w:rFonts w:hint="eastAsia" w:ascii="宋体" w:hAnsi="宋体" w:eastAsia="宋体" w:cs="宋体"/>
          <w:color w:val="auto"/>
          <w:highlight w:val="none"/>
        </w:rPr>
      </w:pPr>
    </w:p>
    <w:p>
      <w:pPr>
        <w:spacing w:line="440" w:lineRule="exact"/>
        <w:rPr>
          <w:rFonts w:hint="eastAsia" w:ascii="宋体" w:hAnsi="宋体" w:eastAsia="宋体" w:cs="宋体"/>
          <w:color w:val="auto"/>
          <w:sz w:val="32"/>
          <w:szCs w:val="32"/>
          <w:highlight w:val="none"/>
        </w:rPr>
      </w:pPr>
    </w:p>
    <w:p>
      <w:pPr>
        <w:pStyle w:val="2"/>
        <w:rPr>
          <w:rFonts w:hint="eastAsia"/>
        </w:rPr>
      </w:pPr>
    </w:p>
    <w:p>
      <w:pPr>
        <w:spacing w:line="440" w:lineRule="exact"/>
        <w:rPr>
          <w:rFonts w:hint="eastAsia" w:ascii="宋体" w:hAnsi="宋体" w:eastAsia="宋体" w:cs="宋体"/>
          <w:color w:val="auto"/>
          <w:sz w:val="32"/>
          <w:szCs w:val="32"/>
          <w:highlight w:val="none"/>
        </w:rPr>
      </w:pPr>
    </w:p>
    <w:p>
      <w:pPr>
        <w:pStyle w:val="12"/>
        <w:snapToGrid w:val="0"/>
        <w:spacing w:before="120" w:after="120" w:line="360" w:lineRule="auto"/>
        <w:ind w:left="0" w:leftChars="0" w:firstLine="1537" w:firstLineChars="427"/>
        <w:jc w:val="both"/>
        <w:rPr>
          <w:rFonts w:hint="eastAsia" w:ascii="宋体" w:hAnsi="宋体" w:eastAsia="宋体" w:cs="宋体"/>
          <w:color w:val="auto"/>
          <w:kern w:val="0"/>
          <w:sz w:val="36"/>
          <w:szCs w:val="36"/>
          <w:highlight w:val="none"/>
          <w:lang w:val="en-US" w:eastAsia="zh-CN" w:bidi="ar-SA"/>
        </w:rPr>
      </w:pPr>
      <w:r>
        <w:rPr>
          <w:rFonts w:hint="eastAsia" w:ascii="宋体" w:hAnsi="宋体" w:eastAsia="宋体" w:cs="宋体"/>
          <w:color w:val="auto"/>
          <w:kern w:val="0"/>
          <w:sz w:val="36"/>
          <w:szCs w:val="36"/>
          <w:highlight w:val="none"/>
          <w:lang w:val="en-US" w:eastAsia="zh-CN" w:bidi="ar-SA"/>
        </w:rPr>
        <w:t>项目编号：</w:t>
      </w:r>
    </w:p>
    <w:p>
      <w:pPr>
        <w:pStyle w:val="12"/>
        <w:snapToGrid w:val="0"/>
        <w:spacing w:before="120" w:after="120" w:line="360" w:lineRule="auto"/>
        <w:ind w:left="0" w:leftChars="0" w:firstLine="1537" w:firstLineChars="427"/>
        <w:jc w:val="both"/>
        <w:rPr>
          <w:rFonts w:hint="eastAsia" w:ascii="宋体" w:hAnsi="宋体" w:eastAsia="宋体" w:cs="宋体"/>
          <w:color w:val="auto"/>
          <w:kern w:val="0"/>
          <w:sz w:val="36"/>
          <w:szCs w:val="36"/>
          <w:highlight w:val="none"/>
          <w:lang w:val="en-US" w:eastAsia="zh-CN" w:bidi="ar-SA"/>
        </w:rPr>
      </w:pPr>
      <w:r>
        <w:rPr>
          <w:rFonts w:hint="eastAsia" w:ascii="宋体" w:hAnsi="宋体" w:eastAsia="宋体" w:cs="宋体"/>
          <w:color w:val="auto"/>
          <w:kern w:val="0"/>
          <w:sz w:val="36"/>
          <w:szCs w:val="36"/>
          <w:highlight w:val="none"/>
          <w:lang w:val="en-US" w:eastAsia="zh-CN" w:bidi="ar-SA"/>
        </w:rPr>
        <w:t>招标单位：金华市医疗保障中心</w:t>
      </w:r>
    </w:p>
    <w:p>
      <w:pPr>
        <w:ind w:left="0" w:leftChars="0" w:firstLine="1537" w:firstLineChars="427"/>
        <w:jc w:val="center"/>
        <w:rPr>
          <w:rFonts w:hint="eastAsia" w:ascii="宋体" w:hAnsi="宋体" w:eastAsia="宋体" w:cs="宋体"/>
          <w:color w:val="auto"/>
          <w:sz w:val="36"/>
          <w:szCs w:val="36"/>
          <w:highlight w:val="none"/>
          <w:lang w:val="zh-CN"/>
        </w:rPr>
      </w:pPr>
    </w:p>
    <w:p>
      <w:pPr>
        <w:ind w:left="0" w:leftChars="0" w:firstLine="1537" w:firstLineChars="427"/>
        <w:jc w:val="center"/>
        <w:rPr>
          <w:rFonts w:hint="eastAsia" w:ascii="宋体" w:hAnsi="宋体" w:eastAsia="宋体" w:cs="宋体"/>
          <w:color w:val="auto"/>
          <w:sz w:val="36"/>
          <w:szCs w:val="36"/>
          <w:highlight w:val="none"/>
          <w:lang w:val="zh-CN"/>
        </w:rPr>
      </w:pPr>
    </w:p>
    <w:p>
      <w:pPr>
        <w:ind w:left="0" w:leftChars="0" w:firstLine="1537" w:firstLineChars="427"/>
        <w:jc w:val="center"/>
        <w:rPr>
          <w:rFonts w:hint="eastAsia" w:ascii="宋体" w:hAnsi="宋体" w:eastAsia="宋体" w:cs="宋体"/>
          <w:b/>
          <w:bCs/>
          <w:color w:val="auto"/>
          <w:sz w:val="32"/>
          <w:szCs w:val="32"/>
          <w:highlight w:val="none"/>
          <w:lang w:val="zh-CN"/>
        </w:rPr>
      </w:pPr>
      <w:r>
        <w:rPr>
          <w:rFonts w:hint="eastAsia" w:ascii="宋体" w:hAnsi="宋体" w:eastAsia="宋体" w:cs="宋体"/>
          <w:color w:val="auto"/>
          <w:sz w:val="36"/>
          <w:szCs w:val="36"/>
          <w:highlight w:val="none"/>
          <w:lang w:val="zh-CN"/>
        </w:rPr>
        <w:t>二</w:t>
      </w:r>
      <w:r>
        <w:rPr>
          <w:rFonts w:hint="eastAsia" w:ascii="宋体" w:hAnsi="宋体" w:eastAsia="宋体" w:cs="宋体"/>
          <w:color w:val="auto"/>
          <w:sz w:val="36"/>
          <w:szCs w:val="36"/>
          <w:highlight w:val="none"/>
          <w:lang w:val="en-US" w:eastAsia="zh-CN"/>
        </w:rPr>
        <w:t>O二二</w:t>
      </w:r>
      <w:r>
        <w:rPr>
          <w:rFonts w:hint="eastAsia" w:ascii="宋体" w:hAnsi="宋体" w:eastAsia="宋体" w:cs="宋体"/>
          <w:color w:val="auto"/>
          <w:sz w:val="36"/>
          <w:szCs w:val="36"/>
          <w:highlight w:val="none"/>
          <w:lang w:val="zh-CN"/>
        </w:rPr>
        <w:t>年</w:t>
      </w:r>
      <w:r>
        <w:rPr>
          <w:rFonts w:hint="eastAsia" w:ascii="宋体" w:hAnsi="宋体" w:eastAsia="宋体" w:cs="宋体"/>
          <w:color w:val="auto"/>
          <w:sz w:val="36"/>
          <w:szCs w:val="36"/>
          <w:highlight w:val="none"/>
          <w:lang w:val="en-US" w:eastAsia="zh-CN"/>
        </w:rPr>
        <w:t>7</w:t>
      </w:r>
      <w:r>
        <w:rPr>
          <w:rFonts w:hint="eastAsia" w:ascii="宋体" w:hAnsi="宋体" w:eastAsia="宋体" w:cs="宋体"/>
          <w:color w:val="auto"/>
          <w:sz w:val="36"/>
          <w:szCs w:val="36"/>
          <w:highlight w:val="none"/>
          <w:lang w:val="zh-CN"/>
        </w:rPr>
        <w:t>月</w:t>
      </w:r>
    </w:p>
    <w:p>
      <w:pPr>
        <w:pStyle w:val="4"/>
        <w:bidi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bidi w:val="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eastAsia="zh-CN"/>
        </w:rPr>
        <w:t>公开</w:t>
      </w:r>
      <w:r>
        <w:rPr>
          <w:rFonts w:hint="eastAsia" w:ascii="宋体" w:hAnsi="宋体" w:eastAsia="宋体" w:cs="宋体"/>
          <w:color w:val="auto"/>
          <w:highlight w:val="none"/>
        </w:rPr>
        <w:t>招标公告</w:t>
      </w:r>
    </w:p>
    <w:bookmarkEnd w:id="0"/>
    <w:p>
      <w:pPr>
        <w:pStyle w:val="26"/>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right="0" w:rightChars="0" w:firstLine="480" w:firstLineChars="200"/>
        <w:textAlignment w:val="auto"/>
        <w:outlineLvl w:val="1"/>
        <w:rPr>
          <w:rFonts w:hint="eastAsia" w:ascii="宋体" w:hAnsi="宋体" w:eastAsia="宋体" w:cs="宋体"/>
          <w:color w:val="auto"/>
          <w:sz w:val="24"/>
          <w:szCs w:val="24"/>
          <w:highlight w:val="none"/>
          <w:shd w:val="clear" w:color="auto" w:fill="FFFFFF"/>
          <w:lang w:eastAsia="zh-CN"/>
        </w:rPr>
      </w:pPr>
    </w:p>
    <w:p>
      <w:pPr>
        <w:pStyle w:val="26"/>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right="0" w:rightChars="0" w:firstLine="480"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金华市医疗保障中心年度采购项目委托代理机构服务项目</w:t>
      </w:r>
      <w:r>
        <w:rPr>
          <w:rFonts w:hint="eastAsia" w:ascii="宋体" w:hAnsi="宋体" w:eastAsia="宋体" w:cs="宋体"/>
          <w:color w:val="auto"/>
          <w:sz w:val="24"/>
          <w:szCs w:val="24"/>
          <w:highlight w:val="none"/>
          <w:shd w:val="clear" w:color="auto" w:fill="FFFFFF"/>
          <w:lang w:eastAsia="zh-CN"/>
        </w:rPr>
        <w:t>组织公开招标</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eastAsia="zh-CN"/>
        </w:rPr>
        <w:t>欢迎符合资格要求的供应商参加投标</w:t>
      </w:r>
      <w:r>
        <w:rPr>
          <w:rFonts w:hint="eastAsia" w:ascii="宋体" w:hAnsi="宋体" w:eastAsia="宋体" w:cs="宋体"/>
          <w:color w:val="auto"/>
          <w:sz w:val="24"/>
          <w:szCs w:val="24"/>
          <w:highlight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2"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二、项目概况与招标范围</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1.项目名称：</w:t>
      </w:r>
      <w:r>
        <w:rPr>
          <w:rFonts w:hint="eastAsia" w:ascii="宋体" w:hAnsi="宋体" w:eastAsia="宋体" w:cs="宋体"/>
          <w:color w:val="auto"/>
          <w:sz w:val="24"/>
          <w:szCs w:val="24"/>
          <w:highlight w:val="none"/>
          <w:u w:val="single"/>
          <w:lang w:eastAsia="zh-CN"/>
        </w:rPr>
        <w:t>金华市医疗保障中心年度采购项目委托代理机构服务项目</w:t>
      </w:r>
      <w:r>
        <w:rPr>
          <w:rFonts w:hint="eastAsia" w:ascii="宋体" w:hAnsi="宋体" w:eastAsia="宋体" w:cs="宋体"/>
          <w:color w:val="auto"/>
          <w:sz w:val="24"/>
          <w:szCs w:val="24"/>
          <w:highlight w:val="none"/>
          <w:u w:val="single"/>
        </w:rPr>
        <w:t>。</w:t>
      </w:r>
    </w:p>
    <w:p>
      <w:pPr>
        <w:keepNext w:val="0"/>
        <w:keepLines w:val="0"/>
        <w:pageBreakBefore w:val="0"/>
        <w:widowControl/>
        <w:shd w:val="clear" w:color="auto" w:fill="FFFFFF"/>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2.项目编号：</w:t>
      </w:r>
      <w:r>
        <w:rPr>
          <w:rFonts w:hint="eastAsia" w:ascii="宋体" w:hAnsi="宋体" w:eastAsia="宋体" w:cs="宋体"/>
          <w:color w:val="auto"/>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.招标内容：</w:t>
      </w:r>
    </w:p>
    <w:tbl>
      <w:tblPr>
        <w:tblStyle w:val="18"/>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993"/>
        <w:gridCol w:w="276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66"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lang w:val="en-US" w:eastAsia="zh-CN"/>
              </w:rPr>
            </w:pPr>
            <w:r>
              <w:rPr>
                <w:rFonts w:hint="eastAsia" w:ascii="宋体" w:hAnsi="宋体" w:eastAsia="宋体" w:cs="宋体"/>
                <w:b w:val="0"/>
                <w:bCs/>
                <w:color w:val="FF0000"/>
                <w:sz w:val="24"/>
                <w:szCs w:val="24"/>
                <w:highlight w:val="none"/>
                <w:lang w:val="en-US" w:eastAsia="zh-CN"/>
              </w:rPr>
              <w:t>序号</w:t>
            </w:r>
          </w:p>
        </w:tc>
        <w:tc>
          <w:tcPr>
            <w:tcW w:w="2993"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rPr>
              <w:t>服务内容</w:t>
            </w:r>
          </w:p>
        </w:tc>
        <w:tc>
          <w:tcPr>
            <w:tcW w:w="276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rPr>
              <w:t>服务期限</w:t>
            </w:r>
          </w:p>
        </w:tc>
        <w:tc>
          <w:tcPr>
            <w:tcW w:w="1960"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rPr>
              <w:t>选定代理</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rPr>
              <w:t>机构数量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66"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lang w:val="en-US" w:eastAsia="zh-CN"/>
              </w:rPr>
            </w:pPr>
            <w:r>
              <w:rPr>
                <w:rFonts w:hint="eastAsia" w:ascii="宋体" w:hAnsi="宋体" w:eastAsia="宋体" w:cs="宋体"/>
                <w:b w:val="0"/>
                <w:bCs/>
                <w:color w:val="FF0000"/>
                <w:sz w:val="24"/>
                <w:szCs w:val="24"/>
                <w:highlight w:val="none"/>
                <w:lang w:val="en-US" w:eastAsia="zh-CN"/>
              </w:rPr>
              <w:t>1</w:t>
            </w:r>
          </w:p>
        </w:tc>
        <w:tc>
          <w:tcPr>
            <w:tcW w:w="2993"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rPr>
              <w:t>货物、服务类、</w:t>
            </w:r>
            <w:r>
              <w:rPr>
                <w:rFonts w:hint="eastAsia" w:ascii="宋体" w:hAnsi="宋体" w:eastAsia="宋体" w:cs="宋体"/>
                <w:b w:val="0"/>
                <w:bCs/>
                <w:color w:val="FF0000"/>
                <w:sz w:val="24"/>
                <w:szCs w:val="24"/>
                <w:highlight w:val="none"/>
                <w:lang w:eastAsia="zh-CN"/>
              </w:rPr>
              <w:t>限额以下</w:t>
            </w:r>
            <w:r>
              <w:rPr>
                <w:rFonts w:hint="eastAsia" w:ascii="宋体" w:hAnsi="宋体" w:eastAsia="宋体" w:cs="宋体"/>
                <w:b w:val="0"/>
                <w:bCs/>
                <w:color w:val="FF0000"/>
                <w:sz w:val="24"/>
                <w:szCs w:val="24"/>
                <w:highlight w:val="none"/>
              </w:rPr>
              <w:t>工程类项目</w:t>
            </w:r>
            <w:r>
              <w:rPr>
                <w:rFonts w:hint="eastAsia" w:ascii="宋体" w:hAnsi="宋体" w:eastAsia="宋体" w:cs="宋体"/>
                <w:b w:val="0"/>
                <w:bCs/>
                <w:color w:val="FF0000"/>
                <w:sz w:val="24"/>
                <w:szCs w:val="24"/>
                <w:highlight w:val="none"/>
                <w:lang w:eastAsia="zh-CN"/>
              </w:rPr>
              <w:t>采购</w:t>
            </w:r>
            <w:r>
              <w:rPr>
                <w:rFonts w:hint="eastAsia" w:ascii="宋体" w:hAnsi="宋体" w:eastAsia="宋体" w:cs="宋体"/>
                <w:b w:val="0"/>
                <w:bCs/>
                <w:color w:val="FF0000"/>
                <w:sz w:val="24"/>
                <w:szCs w:val="24"/>
                <w:highlight w:val="none"/>
              </w:rPr>
              <w:t>代理</w:t>
            </w:r>
            <w:r>
              <w:rPr>
                <w:rFonts w:hint="eastAsia" w:ascii="宋体" w:hAnsi="宋体" w:eastAsia="宋体" w:cs="宋体"/>
                <w:b w:val="0"/>
                <w:bCs/>
                <w:color w:val="FF0000"/>
                <w:sz w:val="24"/>
                <w:szCs w:val="24"/>
                <w:highlight w:val="none"/>
                <w:lang w:eastAsia="zh-CN"/>
              </w:rPr>
              <w:t>服务</w:t>
            </w:r>
          </w:p>
        </w:tc>
        <w:tc>
          <w:tcPr>
            <w:tcW w:w="276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lang w:val="en-US" w:eastAsia="zh-CN"/>
              </w:rPr>
              <w:t>3</w:t>
            </w:r>
            <w:r>
              <w:rPr>
                <w:rFonts w:hint="eastAsia" w:ascii="宋体" w:hAnsi="宋体" w:eastAsia="宋体" w:cs="宋体"/>
                <w:b w:val="0"/>
                <w:bCs/>
                <w:color w:val="FF0000"/>
                <w:sz w:val="24"/>
                <w:szCs w:val="24"/>
                <w:highlight w:val="none"/>
              </w:rPr>
              <w:t>年</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lang w:eastAsia="zh-CN"/>
              </w:rPr>
              <w:t>（具体以合同时间为准）</w:t>
            </w:r>
          </w:p>
        </w:tc>
        <w:tc>
          <w:tcPr>
            <w:tcW w:w="1960"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ind w:right="0" w:rightChars="0"/>
              <w:jc w:val="center"/>
              <w:textAlignment w:val="auto"/>
              <w:rPr>
                <w:rFonts w:hint="eastAsia" w:ascii="宋体" w:hAnsi="宋体" w:eastAsia="宋体" w:cs="宋体"/>
                <w:b w:val="0"/>
                <w:bCs/>
                <w:color w:val="FF0000"/>
                <w:sz w:val="24"/>
                <w:szCs w:val="24"/>
                <w:highlight w:val="none"/>
              </w:rPr>
            </w:pPr>
            <w:r>
              <w:rPr>
                <w:rFonts w:hint="eastAsia" w:ascii="宋体" w:hAnsi="宋体" w:eastAsia="宋体" w:cs="宋体"/>
                <w:b w:val="0"/>
                <w:bCs/>
                <w:color w:val="FF0000"/>
                <w:sz w:val="24"/>
                <w:szCs w:val="24"/>
                <w:highlight w:val="none"/>
                <w:lang w:val="en-US" w:eastAsia="zh-CN"/>
              </w:rPr>
              <w:t>4</w:t>
            </w:r>
            <w:r>
              <w:rPr>
                <w:rFonts w:hint="eastAsia" w:ascii="宋体" w:hAnsi="宋体" w:eastAsia="宋体" w:cs="宋体"/>
                <w:b w:val="0"/>
                <w:bCs/>
                <w:color w:val="FF0000"/>
                <w:sz w:val="24"/>
                <w:szCs w:val="24"/>
                <w:highlight w:val="none"/>
              </w:rPr>
              <w:t>家</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进度要求：</w:t>
      </w:r>
      <w:r>
        <w:rPr>
          <w:rFonts w:hint="eastAsia" w:ascii="宋体" w:hAnsi="宋体" w:eastAsia="宋体" w:cs="宋体"/>
          <w:color w:val="auto"/>
          <w:sz w:val="24"/>
          <w:szCs w:val="24"/>
          <w:highlight w:val="none"/>
          <w:lang w:eastAsia="zh-CN"/>
        </w:rPr>
        <w:t>按承办单位要求实施。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．质量要求：</w:t>
      </w:r>
      <w:r>
        <w:rPr>
          <w:rFonts w:hint="eastAsia" w:ascii="宋体" w:hAnsi="宋体" w:eastAsia="宋体" w:cs="宋体"/>
          <w:color w:val="auto"/>
          <w:sz w:val="24"/>
          <w:szCs w:val="24"/>
          <w:highlight w:val="none"/>
          <w:u w:val="single"/>
        </w:rPr>
        <w:t>符合国家现行有关规定。</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s="宋体"/>
          <w:b/>
          <w:color w:val="auto"/>
          <w:sz w:val="24"/>
          <w:szCs w:val="24"/>
          <w:highlight w:val="none"/>
        </w:rPr>
        <w:t>合格投标</w:t>
      </w:r>
      <w:r>
        <w:rPr>
          <w:rFonts w:hint="eastAsia" w:ascii="宋体" w:hAnsi="宋体" w:eastAsia="宋体" w:cs="宋体"/>
          <w:b/>
          <w:bCs/>
          <w:color w:val="auto"/>
          <w:sz w:val="24"/>
          <w:szCs w:val="24"/>
          <w:highlight w:val="none"/>
        </w:rPr>
        <w:t>人资格要求</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1.具有相应经营能力的独立法人企业；</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5.参加投标活动前三年内，在经营中没有重大违法记录；</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6.投标人营业执照经营范围内须具备招标代理业务；</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7.单位负责人为同一人或者存在直接控股、管理关系的不同投标人，不得参加同一合同项下的采购活动；</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8.本项目不接受联合体投标。</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firstLine="482" w:firstLineChars="200"/>
        <w:textAlignment w:val="auto"/>
        <w:outlineLvl w:val="2"/>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招标文件的公告及获取</w:t>
      </w:r>
    </w:p>
    <w:p>
      <w:pPr>
        <w:keepNext w:val="0"/>
        <w:keepLines w:val="0"/>
        <w:pageBreakBefore w:val="0"/>
        <w:tabs>
          <w:tab w:val="left" w:pos="1260"/>
        </w:tabs>
        <w:kinsoku/>
        <w:wordWrap/>
        <w:overflowPunct/>
        <w:topLinePunct w:val="0"/>
        <w:autoSpaceDE/>
        <w:autoSpaceDN/>
        <w:bidi w:val="0"/>
        <w:snapToGrid w:val="0"/>
        <w:spacing w:after="0" w:line="440" w:lineRule="exact"/>
        <w:ind w:right="0" w:rightChars="0" w:firstLine="480" w:firstLineChars="200"/>
        <w:textAlignment w:val="auto"/>
        <w:rPr>
          <w:rStyle w:val="35"/>
          <w:rFonts w:hint="eastAsia" w:ascii="宋体" w:hAnsi="宋体" w:eastAsia="宋体" w:cs="宋体"/>
          <w:color w:val="FF0000"/>
          <w:sz w:val="24"/>
          <w:szCs w:val="24"/>
        </w:rPr>
      </w:pPr>
      <w:r>
        <w:rPr>
          <w:rStyle w:val="35"/>
          <w:rFonts w:hint="eastAsia" w:ascii="宋体" w:hAnsi="宋体" w:eastAsia="宋体" w:cs="宋体"/>
          <w:color w:val="FF0000"/>
          <w:sz w:val="24"/>
          <w:szCs w:val="24"/>
        </w:rPr>
        <w:t>1.时间：</w:t>
      </w:r>
      <w:r>
        <w:rPr>
          <w:rStyle w:val="35"/>
          <w:rFonts w:hint="eastAsia" w:ascii="宋体" w:hAnsi="宋体" w:eastAsia="宋体" w:cs="宋体"/>
          <w:bCs/>
          <w:color w:val="FF0000"/>
          <w:sz w:val="24"/>
          <w:szCs w:val="24"/>
        </w:rPr>
        <w:t>2022年</w:t>
      </w:r>
      <w:r>
        <w:rPr>
          <w:rStyle w:val="35"/>
          <w:rFonts w:hint="eastAsia" w:ascii="宋体" w:hAnsi="宋体" w:eastAsia="宋体" w:cs="宋体"/>
          <w:bCs/>
          <w:color w:val="FF0000"/>
          <w:sz w:val="24"/>
          <w:szCs w:val="24"/>
          <w:lang w:val="en-US" w:eastAsia="zh-CN"/>
        </w:rPr>
        <w:t>7</w:t>
      </w:r>
      <w:r>
        <w:rPr>
          <w:rStyle w:val="35"/>
          <w:rFonts w:hint="eastAsia" w:ascii="宋体" w:hAnsi="宋体" w:eastAsia="宋体" w:cs="宋体"/>
          <w:bCs/>
          <w:color w:val="FF0000"/>
          <w:sz w:val="24"/>
          <w:szCs w:val="24"/>
        </w:rPr>
        <w:t>月</w:t>
      </w:r>
      <w:r>
        <w:rPr>
          <w:rStyle w:val="35"/>
          <w:rFonts w:hint="eastAsia" w:ascii="宋体" w:hAnsi="宋体" w:eastAsia="宋体" w:cs="宋体"/>
          <w:bCs/>
          <w:color w:val="FF0000"/>
          <w:sz w:val="24"/>
          <w:szCs w:val="24"/>
          <w:lang w:val="en-US" w:eastAsia="zh-CN"/>
        </w:rPr>
        <w:t>27</w:t>
      </w:r>
      <w:r>
        <w:rPr>
          <w:rStyle w:val="35"/>
          <w:rFonts w:hint="eastAsia" w:ascii="宋体" w:hAnsi="宋体" w:eastAsia="宋体" w:cs="宋体"/>
          <w:bCs/>
          <w:color w:val="FF0000"/>
          <w:sz w:val="24"/>
          <w:szCs w:val="24"/>
        </w:rPr>
        <w:t>日</w:t>
      </w:r>
      <w:r>
        <w:rPr>
          <w:rStyle w:val="35"/>
          <w:rFonts w:hint="eastAsia" w:ascii="宋体" w:hAnsi="宋体" w:eastAsia="宋体" w:cs="宋体"/>
          <w:color w:val="FF0000"/>
          <w:sz w:val="24"/>
          <w:szCs w:val="24"/>
        </w:rPr>
        <w:t>至</w:t>
      </w:r>
      <w:r>
        <w:rPr>
          <w:rStyle w:val="35"/>
          <w:rFonts w:hint="eastAsia" w:ascii="宋体" w:hAnsi="宋体" w:eastAsia="宋体" w:cs="宋体"/>
          <w:bCs/>
          <w:color w:val="FF0000"/>
          <w:sz w:val="24"/>
          <w:szCs w:val="24"/>
        </w:rPr>
        <w:t>2022年</w:t>
      </w:r>
      <w:r>
        <w:rPr>
          <w:rStyle w:val="35"/>
          <w:rFonts w:hint="eastAsia" w:ascii="宋体" w:hAnsi="宋体" w:eastAsia="宋体" w:cs="宋体"/>
          <w:bCs/>
          <w:color w:val="FF0000"/>
          <w:sz w:val="24"/>
          <w:szCs w:val="24"/>
          <w:lang w:val="en-US" w:eastAsia="zh-CN"/>
        </w:rPr>
        <w:t>8</w:t>
      </w:r>
      <w:r>
        <w:rPr>
          <w:rStyle w:val="35"/>
          <w:rFonts w:hint="eastAsia" w:ascii="宋体" w:hAnsi="宋体" w:eastAsia="宋体" w:cs="宋体"/>
          <w:bCs/>
          <w:color w:val="FF0000"/>
          <w:sz w:val="24"/>
          <w:szCs w:val="24"/>
        </w:rPr>
        <w:t>月</w:t>
      </w:r>
      <w:r>
        <w:rPr>
          <w:rStyle w:val="35"/>
          <w:rFonts w:hint="eastAsia" w:ascii="宋体" w:hAnsi="宋体" w:eastAsia="宋体" w:cs="宋体"/>
          <w:bCs/>
          <w:color w:val="FF0000"/>
          <w:sz w:val="24"/>
          <w:szCs w:val="24"/>
          <w:lang w:val="en-US" w:eastAsia="zh-CN"/>
        </w:rPr>
        <w:t>15</w:t>
      </w:r>
      <w:r>
        <w:rPr>
          <w:rStyle w:val="35"/>
          <w:rFonts w:hint="eastAsia" w:ascii="宋体" w:hAnsi="宋体" w:eastAsia="宋体" w:cs="宋体"/>
          <w:bCs/>
          <w:color w:val="FF0000"/>
          <w:sz w:val="24"/>
          <w:szCs w:val="24"/>
        </w:rPr>
        <w:t>日</w:t>
      </w:r>
      <w:r>
        <w:rPr>
          <w:rStyle w:val="35"/>
          <w:rFonts w:hint="eastAsia" w:ascii="宋体" w:hAnsi="宋体" w:eastAsia="宋体" w:cs="宋体"/>
          <w:color w:val="FF0000"/>
          <w:sz w:val="24"/>
          <w:szCs w:val="24"/>
        </w:rPr>
        <w:t>17：00时。</w:t>
      </w:r>
    </w:p>
    <w:p>
      <w:pPr>
        <w:keepNext w:val="0"/>
        <w:keepLines w:val="0"/>
        <w:pageBreakBefore w:val="0"/>
        <w:tabs>
          <w:tab w:val="left" w:pos="1260"/>
        </w:tabs>
        <w:kinsoku/>
        <w:wordWrap/>
        <w:overflowPunct/>
        <w:topLinePunct w:val="0"/>
        <w:autoSpaceDE/>
        <w:autoSpaceDN/>
        <w:bidi w:val="0"/>
        <w:snapToGrid w:val="0"/>
        <w:spacing w:after="0" w:line="440" w:lineRule="exact"/>
        <w:ind w:right="0" w:rightChars="0" w:firstLine="560" w:firstLineChars="200"/>
        <w:textAlignment w:val="auto"/>
        <w:rPr>
          <w:rStyle w:val="35"/>
          <w:rFonts w:hint="eastAsia" w:ascii="宋体" w:hAnsi="宋体" w:eastAsia="宋体" w:cs="宋体"/>
          <w:sz w:val="28"/>
          <w:szCs w:val="28"/>
        </w:rPr>
      </w:pPr>
      <w:r>
        <w:rPr>
          <w:rStyle w:val="35"/>
          <w:rFonts w:hint="eastAsia" w:ascii="宋体" w:hAnsi="宋体" w:eastAsia="宋体" w:cs="宋体"/>
          <w:sz w:val="28"/>
          <w:szCs w:val="28"/>
        </w:rPr>
        <w:t>2.地点：</w:t>
      </w:r>
      <w:r>
        <w:rPr>
          <w:rStyle w:val="35"/>
          <w:rFonts w:hint="eastAsia" w:ascii="宋体" w:hAnsi="宋体" w:eastAsia="宋体" w:cs="宋体"/>
          <w:sz w:val="28"/>
          <w:szCs w:val="28"/>
          <w:lang w:eastAsia="zh-CN"/>
        </w:rPr>
        <w:t>金华市医疗保障中心（财富大厦</w:t>
      </w:r>
      <w:r>
        <w:rPr>
          <w:rStyle w:val="35"/>
          <w:rFonts w:hint="eastAsia" w:ascii="宋体" w:hAnsi="宋体" w:eastAsia="宋体" w:cs="宋体"/>
          <w:sz w:val="28"/>
          <w:szCs w:val="28"/>
          <w:lang w:val="en-US" w:eastAsia="zh-CN"/>
        </w:rPr>
        <w:t>18楼1804办公室）</w:t>
      </w:r>
      <w:r>
        <w:rPr>
          <w:rStyle w:val="35"/>
          <w:rFonts w:hint="eastAsia" w:ascii="宋体" w:hAnsi="宋体" w:eastAsia="宋体" w:cs="宋体"/>
          <w:sz w:val="28"/>
          <w:szCs w:val="28"/>
        </w:rPr>
        <w:t>。</w:t>
      </w:r>
    </w:p>
    <w:p>
      <w:pPr>
        <w:keepNext w:val="0"/>
        <w:keepLines w:val="0"/>
        <w:pageBreakBefore w:val="0"/>
        <w:tabs>
          <w:tab w:val="left" w:pos="1260"/>
        </w:tabs>
        <w:kinsoku/>
        <w:wordWrap/>
        <w:overflowPunct/>
        <w:topLinePunct w:val="0"/>
        <w:autoSpaceDE/>
        <w:autoSpaceDN/>
        <w:bidi w:val="0"/>
        <w:snapToGrid w:val="0"/>
        <w:spacing w:after="0" w:line="440" w:lineRule="exact"/>
        <w:ind w:right="0" w:rightChars="0" w:firstLine="562" w:firstLineChars="200"/>
        <w:textAlignment w:val="auto"/>
        <w:rPr>
          <w:rStyle w:val="35"/>
          <w:rFonts w:hint="eastAsia" w:ascii="宋体" w:hAnsi="宋体" w:eastAsia="宋体" w:cs="宋体"/>
          <w:b/>
          <w:sz w:val="28"/>
          <w:szCs w:val="28"/>
          <w:lang w:eastAsia="zh-CN"/>
        </w:rPr>
      </w:pPr>
      <w:r>
        <w:rPr>
          <w:rFonts w:hint="eastAsia" w:ascii="宋体" w:hAnsi="宋体" w:eastAsia="宋体" w:cs="宋体"/>
          <w:b/>
          <w:color w:val="auto"/>
          <w:sz w:val="28"/>
          <w:szCs w:val="28"/>
          <w:highlight w:val="none"/>
          <w:lang w:val="en-US" w:eastAsia="zh-CN"/>
        </w:rPr>
        <w:t>五、获取</w:t>
      </w:r>
      <w:r>
        <w:rPr>
          <w:rStyle w:val="35"/>
          <w:rFonts w:hint="eastAsia" w:ascii="宋体" w:hAnsi="宋体" w:eastAsia="宋体" w:cs="宋体"/>
          <w:b/>
          <w:sz w:val="28"/>
          <w:szCs w:val="28"/>
        </w:rPr>
        <w:t>招标文件时应提供以下资料</w:t>
      </w:r>
      <w:r>
        <w:rPr>
          <w:rStyle w:val="35"/>
          <w:rFonts w:hint="eastAsia" w:ascii="宋体" w:hAnsi="宋体" w:eastAsia="宋体" w:cs="宋体"/>
          <w:b/>
          <w:sz w:val="28"/>
          <w:szCs w:val="28"/>
          <w:lang w:eastAsia="zh-CN"/>
        </w:rPr>
        <w:t>：</w:t>
      </w:r>
    </w:p>
    <w:p>
      <w:pPr>
        <w:pStyle w:val="26"/>
        <w:keepNext w:val="0"/>
        <w:keepLines w:val="0"/>
        <w:pageBreakBefore w:val="0"/>
        <w:widowControl/>
        <w:kinsoku/>
        <w:wordWrap/>
        <w:overflowPunct/>
        <w:topLinePunct w:val="0"/>
        <w:autoSpaceDE/>
        <w:autoSpaceDN/>
        <w:bidi w:val="0"/>
        <w:adjustRightInd w:val="0"/>
        <w:snapToGrid w:val="0"/>
        <w:spacing w:after="0" w:line="440" w:lineRule="exact"/>
        <w:ind w:left="480" w:right="0" w:rightChars="0" w:firstLine="0" w:firstLineChars="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因疫情情况，可以在金华市医保局网站下载或邮寄方式获取。</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562" w:firstLineChars="200"/>
        <w:jc w:val="both"/>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、投标截止时间和地点：</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280" w:firstLineChars="100"/>
        <w:jc w:val="both"/>
        <w:textAlignment w:val="auto"/>
        <w:rPr>
          <w:rFonts w:hint="eastAsia" w:ascii="宋体" w:hAnsi="宋体" w:eastAsia="宋体" w:cs="宋体"/>
          <w:color w:val="FF0000"/>
          <w:sz w:val="28"/>
          <w:szCs w:val="28"/>
          <w:highlight w:val="none"/>
        </w:rPr>
      </w:pPr>
      <w:r>
        <w:rPr>
          <w:rFonts w:hint="eastAsia" w:ascii="宋体" w:hAnsi="宋体" w:eastAsia="宋体" w:cs="宋体"/>
          <w:color w:val="FF0000"/>
          <w:sz w:val="28"/>
          <w:szCs w:val="28"/>
          <w:highlight w:val="none"/>
        </w:rPr>
        <w:t>投标人应</w:t>
      </w:r>
      <w:r>
        <w:rPr>
          <w:rFonts w:hint="eastAsia" w:ascii="宋体" w:hAnsi="宋体" w:eastAsia="宋体" w:cs="宋体"/>
          <w:b w:val="0"/>
          <w:bCs w:val="0"/>
          <w:color w:val="FF0000"/>
          <w:sz w:val="28"/>
          <w:szCs w:val="28"/>
          <w:highlight w:val="none"/>
        </w:rPr>
        <w:t>于</w:t>
      </w:r>
      <w:r>
        <w:rPr>
          <w:rFonts w:hint="eastAsia" w:ascii="宋体" w:hAnsi="宋体" w:eastAsia="宋体" w:cs="宋体"/>
          <w:b w:val="0"/>
          <w:bCs w:val="0"/>
          <w:color w:val="FF0000"/>
          <w:sz w:val="28"/>
          <w:szCs w:val="28"/>
          <w:highlight w:val="none"/>
          <w:lang w:eastAsia="zh-CN"/>
        </w:rPr>
        <w:t>2022年</w:t>
      </w:r>
      <w:r>
        <w:rPr>
          <w:rFonts w:hint="eastAsia" w:ascii="宋体" w:hAnsi="宋体" w:eastAsia="宋体" w:cs="宋体"/>
          <w:b w:val="0"/>
          <w:bCs w:val="0"/>
          <w:color w:val="FF0000"/>
          <w:sz w:val="28"/>
          <w:szCs w:val="28"/>
          <w:highlight w:val="none"/>
          <w:lang w:val="en-US" w:eastAsia="zh-CN"/>
        </w:rPr>
        <w:t>8</w:t>
      </w:r>
      <w:r>
        <w:rPr>
          <w:rFonts w:hint="eastAsia" w:ascii="宋体" w:hAnsi="宋体" w:eastAsia="宋体" w:cs="宋体"/>
          <w:b w:val="0"/>
          <w:bCs w:val="0"/>
          <w:color w:val="FF0000"/>
          <w:sz w:val="28"/>
          <w:szCs w:val="28"/>
          <w:highlight w:val="none"/>
        </w:rPr>
        <w:t>月</w:t>
      </w:r>
      <w:r>
        <w:rPr>
          <w:rFonts w:hint="eastAsia" w:ascii="宋体" w:hAnsi="宋体" w:eastAsia="宋体" w:cs="宋体"/>
          <w:b w:val="0"/>
          <w:bCs w:val="0"/>
          <w:color w:val="FF0000"/>
          <w:sz w:val="28"/>
          <w:szCs w:val="28"/>
          <w:highlight w:val="none"/>
          <w:lang w:val="en-US" w:eastAsia="zh-CN"/>
        </w:rPr>
        <w:t>17下</w:t>
      </w:r>
      <w:r>
        <w:rPr>
          <w:rFonts w:hint="eastAsia" w:ascii="宋体" w:hAnsi="宋体" w:eastAsia="宋体" w:cs="宋体"/>
          <w:b w:val="0"/>
          <w:bCs w:val="0"/>
          <w:color w:val="FF0000"/>
          <w:sz w:val="28"/>
          <w:szCs w:val="28"/>
          <w:highlight w:val="none"/>
        </w:rPr>
        <w:t>午</w:t>
      </w:r>
      <w:r>
        <w:rPr>
          <w:rFonts w:hint="eastAsia" w:ascii="宋体" w:hAnsi="宋体" w:eastAsia="宋体" w:cs="宋体"/>
          <w:b w:val="0"/>
          <w:bCs w:val="0"/>
          <w:color w:val="FF0000"/>
          <w:sz w:val="28"/>
          <w:szCs w:val="28"/>
          <w:highlight w:val="none"/>
          <w:lang w:val="en-US" w:eastAsia="zh-CN"/>
        </w:rPr>
        <w:t>2</w:t>
      </w:r>
      <w:r>
        <w:rPr>
          <w:rFonts w:hint="eastAsia" w:ascii="宋体" w:hAnsi="宋体" w:eastAsia="宋体" w:cs="宋体"/>
          <w:b w:val="0"/>
          <w:bCs w:val="0"/>
          <w:color w:val="FF0000"/>
          <w:sz w:val="28"/>
          <w:szCs w:val="28"/>
          <w:highlight w:val="none"/>
        </w:rPr>
        <w:t>点前将投标文件密封</w:t>
      </w:r>
      <w:r>
        <w:rPr>
          <w:rFonts w:hint="eastAsia" w:ascii="宋体" w:hAnsi="宋体" w:eastAsia="宋体" w:cs="宋体"/>
          <w:b w:val="0"/>
          <w:bCs w:val="0"/>
          <w:color w:val="FF0000"/>
          <w:sz w:val="28"/>
          <w:szCs w:val="28"/>
          <w:highlight w:val="none"/>
          <w:lang w:eastAsia="zh-CN"/>
        </w:rPr>
        <w:t>通过邮寄</w:t>
      </w:r>
      <w:r>
        <w:rPr>
          <w:rFonts w:hint="eastAsia" w:ascii="宋体" w:hAnsi="宋体" w:eastAsia="宋体" w:cs="宋体"/>
          <w:b w:val="0"/>
          <w:bCs w:val="0"/>
          <w:color w:val="FF0000"/>
          <w:sz w:val="28"/>
          <w:szCs w:val="28"/>
          <w:highlight w:val="none"/>
        </w:rPr>
        <w:t>到</w:t>
      </w:r>
      <w:r>
        <w:rPr>
          <w:rFonts w:hint="eastAsia" w:ascii="宋体" w:hAnsi="宋体" w:eastAsia="宋体" w:cs="宋体"/>
          <w:color w:val="FF0000"/>
          <w:sz w:val="28"/>
          <w:szCs w:val="28"/>
          <w:highlight w:val="none"/>
          <w:lang w:eastAsia="zh-CN"/>
        </w:rPr>
        <w:t>金华市医疗保障中心（双龙南街</w:t>
      </w:r>
      <w:r>
        <w:rPr>
          <w:rFonts w:hint="eastAsia" w:ascii="宋体" w:hAnsi="宋体" w:eastAsia="宋体" w:cs="宋体"/>
          <w:color w:val="FF0000"/>
          <w:sz w:val="28"/>
          <w:szCs w:val="28"/>
          <w:highlight w:val="none"/>
          <w:lang w:val="en-US" w:eastAsia="zh-CN"/>
        </w:rPr>
        <w:t>858号财务大厦1804办公室）。</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562" w:firstLineChars="200"/>
        <w:jc w:val="both"/>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七</w:t>
      </w:r>
      <w:r>
        <w:rPr>
          <w:rFonts w:hint="eastAsia" w:ascii="宋体" w:hAnsi="宋体" w:eastAsia="宋体" w:cs="宋体"/>
          <w:b/>
          <w:color w:val="auto"/>
          <w:sz w:val="28"/>
          <w:szCs w:val="28"/>
          <w:highlight w:val="none"/>
        </w:rPr>
        <w:t>、开标时间及地点：</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本次招标</w:t>
      </w:r>
      <w:r>
        <w:rPr>
          <w:rFonts w:hint="eastAsia" w:ascii="宋体" w:hAnsi="宋体" w:eastAsia="宋体" w:cs="宋体"/>
          <w:b w:val="0"/>
          <w:bCs w:val="0"/>
          <w:color w:val="auto"/>
          <w:sz w:val="28"/>
          <w:szCs w:val="28"/>
          <w:highlight w:val="none"/>
        </w:rPr>
        <w:t>将于</w:t>
      </w:r>
      <w:r>
        <w:rPr>
          <w:rFonts w:hint="eastAsia" w:ascii="宋体" w:hAnsi="宋体" w:eastAsia="宋体" w:cs="宋体"/>
          <w:b w:val="0"/>
          <w:bCs w:val="0"/>
          <w:color w:val="auto"/>
          <w:sz w:val="28"/>
          <w:szCs w:val="28"/>
          <w:highlight w:val="none"/>
          <w:lang w:eastAsia="zh-CN"/>
        </w:rPr>
        <w:t>2022年</w:t>
      </w: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月</w:t>
      </w:r>
      <w:r>
        <w:rPr>
          <w:rFonts w:hint="eastAsia" w:ascii="宋体" w:hAnsi="宋体" w:eastAsia="宋体" w:cs="宋体"/>
          <w:b w:val="0"/>
          <w:bCs w:val="0"/>
          <w:color w:val="auto"/>
          <w:sz w:val="28"/>
          <w:szCs w:val="28"/>
          <w:highlight w:val="none"/>
          <w:lang w:val="en-US" w:eastAsia="zh-CN"/>
        </w:rPr>
        <w:t xml:space="preserve"> 17</w:t>
      </w:r>
      <w:r>
        <w:rPr>
          <w:rFonts w:hint="eastAsia" w:ascii="宋体" w:hAnsi="宋体" w:eastAsia="宋体" w:cs="宋体"/>
          <w:b w:val="0"/>
          <w:bCs w:val="0"/>
          <w:color w:val="auto"/>
          <w:sz w:val="28"/>
          <w:szCs w:val="28"/>
          <w:highlight w:val="none"/>
        </w:rPr>
        <w:t>日</w:t>
      </w:r>
      <w:r>
        <w:rPr>
          <w:rFonts w:hint="eastAsia" w:ascii="宋体" w:hAnsi="宋体" w:eastAsia="宋体" w:cs="宋体"/>
          <w:b w:val="0"/>
          <w:bCs w:val="0"/>
          <w:color w:val="auto"/>
          <w:sz w:val="28"/>
          <w:szCs w:val="28"/>
          <w:highlight w:val="none"/>
          <w:lang w:val="en-US" w:eastAsia="zh-CN"/>
        </w:rPr>
        <w:t>下</w:t>
      </w:r>
      <w:r>
        <w:rPr>
          <w:rFonts w:hint="eastAsia" w:ascii="宋体" w:hAnsi="宋体" w:eastAsia="宋体" w:cs="宋体"/>
          <w:b w:val="0"/>
          <w:bCs w:val="0"/>
          <w:color w:val="auto"/>
          <w:sz w:val="28"/>
          <w:szCs w:val="28"/>
          <w:highlight w:val="none"/>
        </w:rPr>
        <w:t>午</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点</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0</w:t>
      </w:r>
      <w:r>
        <w:rPr>
          <w:rFonts w:hint="eastAsia" w:ascii="宋体" w:hAnsi="宋体" w:eastAsia="宋体" w:cs="宋体"/>
          <w:color w:val="auto"/>
          <w:sz w:val="28"/>
          <w:szCs w:val="28"/>
          <w:highlight w:val="none"/>
        </w:rPr>
        <w:t>分在</w:t>
      </w:r>
      <w:r>
        <w:rPr>
          <w:rFonts w:hint="eastAsia" w:ascii="宋体" w:hAnsi="宋体" w:eastAsia="宋体" w:cs="宋体"/>
          <w:color w:val="auto"/>
          <w:sz w:val="28"/>
          <w:szCs w:val="28"/>
          <w:highlight w:val="none"/>
          <w:lang w:eastAsia="zh-CN"/>
        </w:rPr>
        <w:t>金华市医疗保障中心</w:t>
      </w:r>
      <w:r>
        <w:rPr>
          <w:rFonts w:hint="eastAsia" w:ascii="宋体" w:hAnsi="宋体" w:eastAsia="宋体" w:cs="宋体"/>
          <w:color w:val="auto"/>
          <w:sz w:val="28"/>
          <w:szCs w:val="28"/>
          <w:highlight w:val="none"/>
          <w:lang w:val="en-US" w:eastAsia="zh-CN"/>
        </w:rPr>
        <w:t>18楼1831会议室</w:t>
      </w:r>
      <w:r>
        <w:rPr>
          <w:rFonts w:hint="eastAsia" w:ascii="宋体" w:hAnsi="宋体" w:eastAsia="宋体" w:cs="宋体"/>
          <w:color w:val="auto"/>
          <w:sz w:val="28"/>
          <w:szCs w:val="28"/>
          <w:highlight w:val="none"/>
        </w:rPr>
        <w:t>开标</w:t>
      </w:r>
      <w:r>
        <w:rPr>
          <w:rFonts w:hint="eastAsia" w:ascii="宋体" w:hAnsi="宋体" w:eastAsia="宋体" w:cs="宋体"/>
          <w:color w:val="auto"/>
          <w:sz w:val="28"/>
          <w:szCs w:val="28"/>
          <w:highlight w:val="none"/>
          <w:lang w:eastAsia="zh-CN"/>
        </w:rPr>
        <w:t>，中标结果在金华市医疗保障局网站公布。</w:t>
      </w:r>
      <w:bookmarkStart w:id="3" w:name="_GoBack"/>
      <w:bookmarkEnd w:id="3"/>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562" w:firstLineChars="200"/>
        <w:jc w:val="both"/>
        <w:textAlignment w:val="auto"/>
        <w:rPr>
          <w:rFonts w:hint="eastAsia" w:ascii="宋体" w:hAnsi="宋体" w:eastAsia="宋体" w:cs="宋体"/>
          <w:color w:val="auto"/>
          <w:sz w:val="28"/>
          <w:szCs w:val="28"/>
          <w:highlight w:val="none"/>
          <w:shd w:val="clear" w:color="auto" w:fill="FFFFFF"/>
        </w:rPr>
      </w:pPr>
      <w:r>
        <w:rPr>
          <w:rFonts w:hint="eastAsia" w:ascii="宋体" w:hAnsi="宋体" w:eastAsia="宋体" w:cs="宋体"/>
          <w:b/>
          <w:color w:val="auto"/>
          <w:sz w:val="28"/>
          <w:szCs w:val="28"/>
          <w:highlight w:val="none"/>
          <w:lang w:val="en-US" w:eastAsia="zh-CN"/>
        </w:rPr>
        <w:t>八</w:t>
      </w:r>
      <w:r>
        <w:rPr>
          <w:rFonts w:hint="eastAsia" w:ascii="宋体" w:hAnsi="宋体" w:eastAsia="宋体" w:cs="宋体"/>
          <w:b/>
          <w:color w:val="auto"/>
          <w:sz w:val="28"/>
          <w:szCs w:val="28"/>
          <w:highlight w:val="none"/>
        </w:rPr>
        <w:t>、公告地址：</w:t>
      </w:r>
      <w:r>
        <w:rPr>
          <w:rFonts w:hint="eastAsia" w:ascii="宋体" w:hAnsi="宋体" w:eastAsia="宋体" w:cs="宋体"/>
          <w:color w:val="auto"/>
          <w:sz w:val="28"/>
          <w:szCs w:val="28"/>
          <w:highlight w:val="none"/>
          <w:lang w:eastAsia="zh-CN"/>
        </w:rPr>
        <w:t>金华市医疗保障局网站</w:t>
      </w:r>
      <w:r>
        <w:rPr>
          <w:rFonts w:hint="eastAsia" w:ascii="宋体" w:hAnsi="宋体" w:eastAsia="宋体" w:cs="宋体"/>
          <w:color w:val="auto"/>
          <w:sz w:val="28"/>
          <w:szCs w:val="28"/>
          <w:highlight w:val="none"/>
        </w:rPr>
        <w:t>。</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562" w:firstLineChars="200"/>
        <w:jc w:val="both"/>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九</w:t>
      </w:r>
      <w:r>
        <w:rPr>
          <w:rFonts w:hint="eastAsia" w:ascii="宋体" w:hAnsi="宋体" w:eastAsia="宋体" w:cs="宋体"/>
          <w:b/>
          <w:color w:val="auto"/>
          <w:sz w:val="28"/>
          <w:szCs w:val="28"/>
          <w:highlight w:val="none"/>
        </w:rPr>
        <w:t>、业务咨询：</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420" w:firstLineChars="15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金华市医疗保障中心</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420" w:firstLineChars="15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 xml:space="preserve">地    址：金华市双龙南街858号财富大厦 </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420" w:firstLineChars="15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 xml:space="preserve">联 系 人：许先生       </w:t>
      </w:r>
    </w:p>
    <w:p>
      <w:pPr>
        <w:keepNext w:val="0"/>
        <w:keepLines w:val="0"/>
        <w:pageBreakBefore w:val="0"/>
        <w:tabs>
          <w:tab w:val="left" w:pos="1260"/>
        </w:tabs>
        <w:kinsoku/>
        <w:wordWrap/>
        <w:overflowPunct/>
        <w:topLinePunct w:val="0"/>
        <w:autoSpaceDE/>
        <w:autoSpaceDN/>
        <w:bidi w:val="0"/>
        <w:adjustRightInd/>
        <w:snapToGrid w:val="0"/>
        <w:spacing w:after="0" w:line="440" w:lineRule="exact"/>
        <w:ind w:right="0" w:rightChars="0" w:firstLine="420" w:firstLineChars="15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联系电话：0579-82822009</w:t>
      </w:r>
    </w:p>
    <w:p>
      <w:pPr>
        <w:keepNext w:val="0"/>
        <w:keepLines w:val="0"/>
        <w:pageBreakBefore w:val="0"/>
        <w:widowControl/>
        <w:kinsoku/>
        <w:wordWrap/>
        <w:overflowPunct/>
        <w:topLinePunct w:val="0"/>
        <w:autoSpaceDE/>
        <w:autoSpaceDN/>
        <w:bidi w:val="0"/>
        <w:adjustRightInd w:val="0"/>
        <w:snapToGrid w:val="0"/>
        <w:spacing w:after="0" w:line="440" w:lineRule="exact"/>
        <w:ind w:right="0" w:rightChars="0"/>
        <w:contextualSpacing/>
        <w:jc w:val="center"/>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contextualSpacing/>
        <w:jc w:val="center"/>
        <w:textAlignment w:val="auto"/>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p>
    <w:p>
      <w:pPr>
        <w:contextualSpacing/>
        <w:jc w:val="center"/>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第二章 招标需求</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2" w:firstLineChars="200"/>
        <w:textAlignment w:val="auto"/>
        <w:outlineLvl w:val="1"/>
        <w:rPr>
          <w:rFonts w:hint="eastAsia" w:ascii="宋体" w:hAnsi="宋体" w:eastAsia="宋体" w:cs="宋体"/>
          <w:b/>
          <w:color w:val="auto"/>
          <w:kern w:val="2"/>
          <w:sz w:val="28"/>
          <w:szCs w:val="28"/>
          <w:highlight w:val="none"/>
          <w:lang w:bidi="ar"/>
        </w:rPr>
      </w:pPr>
    </w:p>
    <w:p>
      <w:pPr>
        <w:keepNext w:val="0"/>
        <w:keepLines w:val="0"/>
        <w:pageBreakBefore w:val="0"/>
        <w:widowControl w:val="0"/>
        <w:kinsoku/>
        <w:wordWrap/>
        <w:overflowPunct/>
        <w:topLinePunct w:val="0"/>
        <w:autoSpaceDE/>
        <w:autoSpaceDN/>
        <w:bidi w:val="0"/>
        <w:adjustRightInd w:val="0"/>
        <w:snapToGrid w:val="0"/>
        <w:spacing w:after="0" w:line="500" w:lineRule="exact"/>
        <w:ind w:firstLine="562" w:firstLineChars="200"/>
        <w:textAlignment w:val="auto"/>
        <w:outlineLvl w:val="1"/>
        <w:rPr>
          <w:rFonts w:hint="eastAsia" w:ascii="宋体" w:hAnsi="宋体" w:eastAsia="宋体" w:cs="宋体"/>
          <w:b/>
          <w:color w:val="FF0000"/>
          <w:kern w:val="2"/>
          <w:sz w:val="28"/>
          <w:szCs w:val="28"/>
          <w:highlight w:val="none"/>
          <w:lang w:bidi="ar"/>
        </w:rPr>
      </w:pPr>
      <w:r>
        <w:rPr>
          <w:rFonts w:hint="eastAsia" w:ascii="宋体" w:hAnsi="宋体" w:eastAsia="宋体" w:cs="宋体"/>
          <w:b/>
          <w:color w:val="FF0000"/>
          <w:kern w:val="2"/>
          <w:sz w:val="28"/>
          <w:szCs w:val="28"/>
          <w:highlight w:val="none"/>
          <w:lang w:bidi="ar"/>
        </w:rPr>
        <w:t>一、采购内容</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0" w:firstLineChars="200"/>
        <w:textAlignment w:val="auto"/>
        <w:rPr>
          <w:rFonts w:hint="eastAsia" w:ascii="宋体" w:hAnsi="宋体" w:eastAsia="宋体" w:cs="宋体"/>
          <w:color w:val="FF0000"/>
          <w:kern w:val="2"/>
          <w:sz w:val="28"/>
          <w:szCs w:val="28"/>
          <w:highlight w:val="none"/>
          <w:lang w:eastAsia="zh-CN" w:bidi="ar"/>
        </w:rPr>
      </w:pPr>
      <w:r>
        <w:rPr>
          <w:rFonts w:hint="eastAsia" w:ascii="宋体" w:hAnsi="宋体" w:eastAsia="宋体" w:cs="宋体"/>
          <w:color w:val="FF0000"/>
          <w:kern w:val="2"/>
          <w:sz w:val="28"/>
          <w:szCs w:val="28"/>
          <w:highlight w:val="none"/>
          <w:lang w:eastAsia="zh-CN" w:bidi="ar"/>
        </w:rPr>
        <w:t>年度采购项目委托代理机构服务项目</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2" w:firstLineChars="200"/>
        <w:textAlignment w:val="auto"/>
        <w:outlineLvl w:val="1"/>
        <w:rPr>
          <w:rFonts w:hint="eastAsia" w:ascii="宋体" w:hAnsi="宋体" w:eastAsia="宋体" w:cs="宋体"/>
          <w:b/>
          <w:color w:val="FF0000"/>
          <w:kern w:val="2"/>
          <w:sz w:val="28"/>
          <w:szCs w:val="28"/>
          <w:highlight w:val="none"/>
          <w:lang w:bidi="ar"/>
        </w:rPr>
      </w:pPr>
      <w:r>
        <w:rPr>
          <w:rFonts w:hint="eastAsia" w:ascii="宋体" w:hAnsi="宋体" w:eastAsia="宋体" w:cs="宋体"/>
          <w:b/>
          <w:color w:val="FF0000"/>
          <w:kern w:val="2"/>
          <w:sz w:val="28"/>
          <w:szCs w:val="28"/>
          <w:highlight w:val="none"/>
          <w:lang w:bidi="ar"/>
        </w:rPr>
        <w:t>二、投标人的资格要求</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0" w:firstLineChars="200"/>
        <w:textAlignment w:val="auto"/>
        <w:rPr>
          <w:rFonts w:hint="eastAsia" w:ascii="宋体" w:hAnsi="宋体" w:eastAsia="宋体" w:cs="宋体"/>
          <w:color w:val="FF0000"/>
          <w:kern w:val="2"/>
          <w:sz w:val="28"/>
          <w:szCs w:val="28"/>
          <w:highlight w:val="none"/>
        </w:rPr>
      </w:pPr>
      <w:r>
        <w:rPr>
          <w:rFonts w:hint="eastAsia" w:ascii="宋体" w:hAnsi="宋体" w:eastAsia="宋体" w:cs="宋体"/>
          <w:color w:val="FF0000"/>
          <w:kern w:val="2"/>
          <w:sz w:val="28"/>
          <w:szCs w:val="28"/>
          <w:highlight w:val="none"/>
        </w:rPr>
        <w:t>具备货物、服务、工程（维修改造）类项目代理招标资格，且在浙江政府采购网，浙江省政府采购代理机构名单内的单位。</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2" w:firstLineChars="200"/>
        <w:textAlignment w:val="auto"/>
        <w:outlineLvl w:val="1"/>
        <w:rPr>
          <w:rFonts w:hint="eastAsia" w:ascii="宋体" w:hAnsi="宋体" w:eastAsia="宋体" w:cs="宋体"/>
          <w:b/>
          <w:color w:val="FF0000"/>
          <w:kern w:val="2"/>
          <w:sz w:val="28"/>
          <w:szCs w:val="28"/>
          <w:highlight w:val="none"/>
          <w:lang w:bidi="ar"/>
        </w:rPr>
      </w:pPr>
      <w:r>
        <w:rPr>
          <w:rFonts w:hint="eastAsia" w:ascii="宋体" w:hAnsi="宋体" w:eastAsia="宋体" w:cs="宋体"/>
          <w:b/>
          <w:color w:val="FF0000"/>
          <w:kern w:val="2"/>
          <w:sz w:val="28"/>
          <w:szCs w:val="28"/>
          <w:highlight w:val="none"/>
        </w:rPr>
        <w:t>三、</w:t>
      </w:r>
      <w:r>
        <w:rPr>
          <w:rFonts w:hint="eastAsia" w:ascii="宋体" w:hAnsi="宋体" w:eastAsia="宋体" w:cs="宋体"/>
          <w:b/>
          <w:color w:val="FF0000"/>
          <w:kern w:val="2"/>
          <w:sz w:val="28"/>
          <w:szCs w:val="28"/>
          <w:highlight w:val="none"/>
          <w:lang w:bidi="ar"/>
        </w:rPr>
        <w:t>违约责任</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560" w:firstLineChars="200"/>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8"/>
          <w:szCs w:val="28"/>
          <w:highlight w:val="none"/>
          <w:lang w:bidi="ar"/>
        </w:rPr>
        <w:t>1、投标人在招标工作中出现差错的，要求投标人限期整改，</w:t>
      </w:r>
      <w:r>
        <w:rPr>
          <w:rFonts w:hint="eastAsia" w:ascii="宋体" w:hAnsi="宋体" w:eastAsia="宋体" w:cs="宋体"/>
          <w:color w:val="FF0000"/>
          <w:kern w:val="2"/>
          <w:sz w:val="28"/>
          <w:szCs w:val="28"/>
          <w:highlight w:val="none"/>
          <w:lang w:eastAsia="zh-CN" w:bidi="ar"/>
        </w:rPr>
        <w:t>采购人</w:t>
      </w:r>
      <w:r>
        <w:rPr>
          <w:rFonts w:hint="eastAsia" w:ascii="宋体" w:hAnsi="宋体" w:eastAsia="宋体" w:cs="宋体"/>
          <w:color w:val="FF0000"/>
          <w:kern w:val="2"/>
          <w:sz w:val="28"/>
          <w:szCs w:val="28"/>
          <w:highlight w:val="none"/>
          <w:lang w:bidi="ar"/>
        </w:rPr>
        <w:t>确定整改完成后继续合作，如多次出现招标工作出错且给</w:t>
      </w:r>
      <w:r>
        <w:rPr>
          <w:rFonts w:hint="eastAsia" w:ascii="宋体" w:hAnsi="宋体" w:eastAsia="宋体" w:cs="宋体"/>
          <w:color w:val="FF0000"/>
          <w:kern w:val="2"/>
          <w:sz w:val="28"/>
          <w:szCs w:val="28"/>
          <w:highlight w:val="none"/>
          <w:lang w:eastAsia="zh-CN" w:bidi="ar"/>
        </w:rPr>
        <w:t>采购人</w:t>
      </w:r>
      <w:r>
        <w:rPr>
          <w:rFonts w:hint="eastAsia" w:ascii="宋体" w:hAnsi="宋体" w:eastAsia="宋体" w:cs="宋体"/>
          <w:color w:val="FF0000"/>
          <w:kern w:val="2"/>
          <w:sz w:val="28"/>
          <w:szCs w:val="28"/>
          <w:highlight w:val="none"/>
          <w:lang w:bidi="ar"/>
        </w:rPr>
        <w:t>造成损失，并按损</w:t>
      </w:r>
      <w:r>
        <w:rPr>
          <w:rFonts w:hint="eastAsia" w:ascii="宋体" w:hAnsi="宋体" w:eastAsia="宋体" w:cs="宋体"/>
          <w:color w:val="FF0000"/>
          <w:kern w:val="2"/>
          <w:sz w:val="24"/>
          <w:szCs w:val="24"/>
          <w:highlight w:val="none"/>
          <w:lang w:bidi="ar"/>
        </w:rPr>
        <w:t>失程度进行处罚，情节严重的采购单位有权终止合同</w:t>
      </w:r>
      <w:r>
        <w:rPr>
          <w:rFonts w:hint="eastAsia" w:ascii="宋体" w:hAnsi="宋体" w:eastAsia="宋体" w:cs="宋体"/>
          <w:color w:val="FF0000"/>
          <w:kern w:val="2"/>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2、投标人在招标工作中出现舞弊、不按招标合同执行或财政处罚等现象对</w:t>
      </w:r>
      <w:r>
        <w:rPr>
          <w:rFonts w:hint="eastAsia" w:ascii="宋体" w:hAnsi="宋体" w:eastAsia="宋体" w:cs="宋体"/>
          <w:color w:val="FF0000"/>
          <w:kern w:val="2"/>
          <w:sz w:val="24"/>
          <w:szCs w:val="24"/>
          <w:highlight w:val="none"/>
          <w:lang w:eastAsia="zh-CN" w:bidi="ar"/>
        </w:rPr>
        <w:t>采购人</w:t>
      </w:r>
      <w:r>
        <w:rPr>
          <w:rFonts w:hint="eastAsia" w:ascii="宋体" w:hAnsi="宋体" w:eastAsia="宋体" w:cs="宋体"/>
          <w:color w:val="FF0000"/>
          <w:kern w:val="2"/>
          <w:sz w:val="24"/>
          <w:szCs w:val="24"/>
          <w:highlight w:val="none"/>
          <w:lang w:bidi="ar"/>
        </w:rPr>
        <w:t>造成恶劣影响，采购人有权终止合同。</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2" w:firstLineChars="200"/>
        <w:textAlignment w:val="auto"/>
        <w:rPr>
          <w:rFonts w:hint="eastAsia" w:ascii="宋体" w:hAnsi="宋体" w:eastAsia="宋体" w:cs="宋体"/>
          <w:b/>
          <w:color w:val="FF0000"/>
          <w:kern w:val="2"/>
          <w:sz w:val="24"/>
          <w:szCs w:val="24"/>
          <w:highlight w:val="none"/>
          <w:lang w:bidi="ar"/>
        </w:rPr>
      </w:pPr>
      <w:r>
        <w:rPr>
          <w:rFonts w:hint="eastAsia" w:ascii="宋体" w:hAnsi="宋体" w:eastAsia="宋体" w:cs="宋体"/>
          <w:b/>
          <w:color w:val="FF0000"/>
          <w:kern w:val="2"/>
          <w:sz w:val="24"/>
          <w:szCs w:val="24"/>
          <w:highlight w:val="none"/>
          <w:lang w:bidi="ar"/>
        </w:rPr>
        <w:t>四、采购人其它要求</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1、采购人对中标人实施的委托代理事项有监督和质疑的权利，但不干涉代理方的采购行为，并按规定履行有关保密的责任；</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2、中标人需按规定的程序和要求独立组织采购活动，接受委托方和有关部门的监督。自觉执行回避制度，遵守廉政规定和采购纪律，并承担保密责任；</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3、对外发布有关采购文件和采购结果的，应经委托方确认后并及时将有关采购文件和采购合同等相关资料报财政采购办备案（政采云上传）；</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4、由中标人提交采购报告，接受和答复供应商询问、质疑，协助采购人进行履约监督和项目验收，确保采购活动公开、公平、公正。</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5、所有投标资料要整理并编制成册，形成纸质和电子档案，完整地交给采购人。</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6、要对</w:t>
      </w:r>
      <w:r>
        <w:rPr>
          <w:rFonts w:hint="eastAsia" w:ascii="宋体" w:hAnsi="宋体" w:eastAsia="宋体" w:cs="宋体"/>
          <w:color w:val="FF0000"/>
          <w:kern w:val="2"/>
          <w:sz w:val="24"/>
          <w:szCs w:val="24"/>
          <w:highlight w:val="none"/>
          <w:lang w:eastAsia="zh-CN" w:bidi="ar"/>
        </w:rPr>
        <w:t>采购人</w:t>
      </w:r>
      <w:r>
        <w:rPr>
          <w:rFonts w:hint="eastAsia" w:ascii="宋体" w:hAnsi="宋体" w:eastAsia="宋体" w:cs="宋体"/>
          <w:color w:val="FF0000"/>
          <w:kern w:val="2"/>
          <w:sz w:val="24"/>
          <w:szCs w:val="24"/>
          <w:highlight w:val="none"/>
          <w:lang w:bidi="ar"/>
        </w:rPr>
        <w:t>招投标工作进行指导，并开展经常性培训；</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7、定期对</w:t>
      </w:r>
      <w:r>
        <w:rPr>
          <w:rFonts w:hint="eastAsia" w:ascii="宋体" w:hAnsi="宋体" w:eastAsia="宋体" w:cs="宋体"/>
          <w:color w:val="FF0000"/>
          <w:kern w:val="2"/>
          <w:sz w:val="24"/>
          <w:szCs w:val="24"/>
          <w:highlight w:val="none"/>
          <w:lang w:eastAsia="zh-CN" w:bidi="ar"/>
        </w:rPr>
        <w:t>采购人</w:t>
      </w:r>
      <w:r>
        <w:rPr>
          <w:rFonts w:hint="eastAsia" w:ascii="宋体" w:hAnsi="宋体" w:eastAsia="宋体" w:cs="宋体"/>
          <w:color w:val="FF0000"/>
          <w:kern w:val="2"/>
          <w:sz w:val="24"/>
          <w:szCs w:val="24"/>
          <w:highlight w:val="none"/>
          <w:lang w:bidi="ar"/>
        </w:rPr>
        <w:t>招投标材料归档工作进行指导；</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8、投标人收取代理服务费包含采购人项目招标中的产生的费用。</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宋体" w:hAnsi="宋体" w:eastAsia="宋体" w:cs="宋体"/>
          <w:color w:val="FF0000"/>
          <w:kern w:val="2"/>
          <w:sz w:val="24"/>
          <w:szCs w:val="24"/>
          <w:highlight w:val="none"/>
          <w:lang w:bidi="ar"/>
        </w:rPr>
      </w:pPr>
      <w:r>
        <w:rPr>
          <w:rFonts w:hint="eastAsia" w:ascii="宋体" w:hAnsi="宋体" w:eastAsia="宋体" w:cs="宋体"/>
          <w:color w:val="FF0000"/>
          <w:kern w:val="2"/>
          <w:sz w:val="24"/>
          <w:szCs w:val="24"/>
          <w:highlight w:val="none"/>
          <w:lang w:bidi="ar"/>
        </w:rPr>
        <w:t>9、招标服务项目</w:t>
      </w:r>
      <w:r>
        <w:rPr>
          <w:rFonts w:hint="eastAsia" w:ascii="宋体" w:hAnsi="宋体" w:eastAsia="宋体" w:cs="宋体"/>
          <w:color w:val="FF0000"/>
          <w:kern w:val="2"/>
          <w:sz w:val="24"/>
          <w:szCs w:val="24"/>
          <w:highlight w:val="none"/>
          <w:lang w:eastAsia="zh-CN" w:bidi="ar"/>
        </w:rPr>
        <w:t>由</w:t>
      </w:r>
      <w:r>
        <w:rPr>
          <w:rFonts w:hint="eastAsia" w:ascii="宋体" w:hAnsi="宋体" w:eastAsia="宋体" w:cs="宋体"/>
          <w:color w:val="FF0000"/>
          <w:kern w:val="2"/>
          <w:sz w:val="24"/>
          <w:szCs w:val="24"/>
          <w:highlight w:val="none"/>
          <w:lang w:bidi="ar"/>
        </w:rPr>
        <w:t>采购人指定且不保证最低招标服务项目数量。</w:t>
      </w:r>
    </w:p>
    <w:p>
      <w:pPr>
        <w:keepNext w:val="0"/>
        <w:keepLines w:val="0"/>
        <w:pageBreakBefore w:val="0"/>
        <w:kinsoku/>
        <w:wordWrap/>
        <w:overflowPunct/>
        <w:topLinePunct w:val="0"/>
        <w:autoSpaceDE/>
        <w:autoSpaceDN/>
        <w:bidi w:val="0"/>
        <w:adjustRightInd w:val="0"/>
        <w:snapToGrid w:val="0"/>
        <w:spacing w:after="0" w:line="500" w:lineRule="exact"/>
        <w:ind w:left="482"/>
        <w:textAlignment w:val="auto"/>
        <w:outlineLvl w:val="1"/>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lang w:eastAsia="zh-CN"/>
        </w:rPr>
        <w:t>五</w:t>
      </w:r>
      <w:r>
        <w:rPr>
          <w:rFonts w:hint="eastAsia" w:ascii="宋体" w:hAnsi="宋体" w:eastAsia="宋体" w:cs="宋体"/>
          <w:b/>
          <w:color w:val="FF0000"/>
          <w:sz w:val="24"/>
          <w:szCs w:val="24"/>
          <w:highlight w:val="none"/>
        </w:rPr>
        <w:t>、投标报价须知</w:t>
      </w:r>
    </w:p>
    <w:p>
      <w:pPr>
        <w:keepNext w:val="0"/>
        <w:keepLines w:val="0"/>
        <w:pageBreakBefore w:val="0"/>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color w:val="FF0000"/>
          <w:sz w:val="24"/>
          <w:szCs w:val="24"/>
          <w:highlight w:val="none"/>
        </w:rPr>
        <w:t>1.报价内容为：以各具体代理项目中标价格为取费基数，按照原国家计委《关于招标代理服务收费管理暂行办法的通知》(计价格（2002）1980号)文件规定的收费标准的基础上做出的收费下浮率承诺。最低招标代理起点收费为</w:t>
      </w:r>
      <w:r>
        <w:rPr>
          <w:rFonts w:hint="eastAsia" w:ascii="宋体" w:hAnsi="宋体" w:eastAsia="宋体" w:cs="宋体"/>
          <w:color w:val="FF0000"/>
          <w:sz w:val="24"/>
          <w:szCs w:val="24"/>
          <w:highlight w:val="none"/>
          <w:lang w:val="en-US" w:eastAsia="zh-CN"/>
        </w:rPr>
        <w:t>2500</w:t>
      </w:r>
      <w:r>
        <w:rPr>
          <w:rFonts w:hint="eastAsia" w:ascii="宋体" w:hAnsi="宋体" w:eastAsia="宋体" w:cs="宋体"/>
          <w:color w:val="FF0000"/>
          <w:sz w:val="24"/>
          <w:szCs w:val="24"/>
          <w:highlight w:val="none"/>
        </w:rPr>
        <w:t>元。</w:t>
      </w:r>
    </w:p>
    <w:p>
      <w:pPr>
        <w:keepNext w:val="0"/>
        <w:keepLines w:val="0"/>
        <w:pageBreakBefore w:val="0"/>
        <w:kinsoku/>
        <w:wordWrap/>
        <w:overflowPunct/>
        <w:topLinePunct w:val="0"/>
        <w:autoSpaceDE/>
        <w:autoSpaceDN/>
        <w:bidi w:val="0"/>
        <w:adjustRightInd w:val="0"/>
        <w:snapToGrid w:val="0"/>
        <w:spacing w:after="0" w:line="500" w:lineRule="exact"/>
        <w:ind w:firstLine="480" w:firstLineChars="200"/>
        <w:textAlignment w:val="auto"/>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2.本项目的报价方式为下浮率报价，即投标人在招标文件工作内容的基础上，结合自身企业经营情况填报的让利幅度。下浮率以百分比（%）进行表述，下浮率百分比数值越大，则报价越低（如：15%下浮率的报价低于10%下浮率）。</w:t>
      </w: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宋体" w:hAnsi="宋体" w:eastAsia="宋体" w:cs="宋体"/>
          <w:color w:val="FF0000"/>
          <w:sz w:val="24"/>
          <w:szCs w:val="24"/>
          <w:highlight w:val="none"/>
          <w:lang w:eastAsia="zh-CN"/>
        </w:rPr>
      </w:pPr>
      <w:r>
        <w:rPr>
          <w:rFonts w:hint="eastAsia" w:ascii="宋体" w:hAnsi="宋体" w:eastAsia="宋体" w:cs="宋体"/>
          <w:b/>
          <w:color w:val="FF0000"/>
          <w:kern w:val="2"/>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宋体" w:hAnsi="宋体" w:eastAsia="宋体" w:cs="宋体"/>
          <w:color w:val="FF0000"/>
          <w:sz w:val="24"/>
          <w:szCs w:val="24"/>
          <w:highlight w:val="none"/>
        </w:rPr>
      </w:pP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after="0" w:line="500" w:lineRule="exact"/>
        <w:textAlignment w:val="auto"/>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pStyle w:val="1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spacing w:after="0"/>
        <w:rPr>
          <w:rFonts w:hint="eastAsia" w:ascii="宋体" w:hAnsi="宋体" w:eastAsia="宋体" w:cs="宋体"/>
          <w:color w:val="auto"/>
          <w:sz w:val="24"/>
          <w:szCs w:val="24"/>
          <w:highlight w:val="none"/>
        </w:rPr>
      </w:pPr>
    </w:p>
    <w:p>
      <w:pPr>
        <w:pStyle w:val="4"/>
        <w:spacing w:line="240" w:lineRule="auto"/>
        <w:jc w:val="center"/>
        <w:outlineLvl w:val="0"/>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br w:type="page"/>
      </w:r>
    </w:p>
    <w:p>
      <w:pPr>
        <w:pStyle w:val="4"/>
        <w:spacing w:line="240" w:lineRule="auto"/>
        <w:jc w:val="center"/>
        <w:outlineLvl w:val="0"/>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第三章 投标人须知</w:t>
      </w:r>
      <w:bookmarkStart w:id="1" w:name="_Toc293314665"/>
      <w:r>
        <w:rPr>
          <w:rFonts w:hint="eastAsia" w:ascii="宋体" w:hAnsi="宋体" w:eastAsia="宋体" w:cs="宋体"/>
          <w:color w:val="auto"/>
          <w:kern w:val="0"/>
          <w:sz w:val="36"/>
          <w:szCs w:val="36"/>
          <w:highlight w:val="none"/>
        </w:rPr>
        <w:t>前附表</w:t>
      </w:r>
      <w:bookmarkEnd w:id="1"/>
    </w:p>
    <w:tbl>
      <w:tblPr>
        <w:tblStyle w:val="18"/>
        <w:tblW w:w="97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269"/>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项号</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招标人</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招标人：</w:t>
            </w:r>
            <w:r>
              <w:rPr>
                <w:rFonts w:hint="eastAsia" w:ascii="宋体" w:hAnsi="宋体" w:eastAsia="宋体" w:cs="宋体"/>
                <w:bCs/>
                <w:color w:val="auto"/>
                <w:sz w:val="24"/>
                <w:szCs w:val="24"/>
                <w:highlight w:val="none"/>
                <w:lang w:eastAsia="zh-CN"/>
              </w:rPr>
              <w:t>金华市医疗保障中心</w:t>
            </w:r>
            <w:r>
              <w:rPr>
                <w:rFonts w:hint="eastAsia" w:ascii="宋体" w:hAnsi="宋体" w:eastAsia="宋体" w:cs="宋体"/>
                <w:bCs/>
                <w:color w:val="auto"/>
                <w:sz w:val="24"/>
                <w:szCs w:val="24"/>
                <w:highlight w:val="none"/>
              </w:rPr>
              <w:t xml:space="preserve">   </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地    址：金华市双龙南街858号财富大厦 </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联 系 人：许先生       </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联系电话：0579-82822009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金华市医疗保障中心年度采购项目委托代理机构服务项目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招标范围</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金华市医疗保障中心年度采购项目委托代理机构服务项目</w:t>
            </w:r>
            <w:r>
              <w:rPr>
                <w:rFonts w:hint="eastAsia" w:ascii="宋体" w:hAnsi="宋体" w:eastAsia="宋体" w:cs="宋体"/>
                <w:bCs/>
                <w:color w:val="auto"/>
                <w:sz w:val="24"/>
                <w:szCs w:val="24"/>
                <w:highlight w:val="none"/>
              </w:rPr>
              <w:t>，招标人认为需另行确定咨询人的特殊项目除外。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进度要求</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以招标人出具的项目委托书要求为准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质量要求</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符合国家现行有关规定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投标人资格要求</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1.具有独立承担民事责任能力；</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2.具有良好的商业信誉和健全的财务会计制度；</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3.具有履行合同所必需的设备和专业技术能力；</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4.有依法缴纳税收和社会保障资金的良好记录；</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5.参加投标活动前三年内，在经营中没有重大违法记录；</w:t>
            </w:r>
          </w:p>
          <w:p>
            <w:pPr>
              <w:keepNext w:val="0"/>
              <w:keepLines w:val="0"/>
              <w:pageBreakBefore w:val="0"/>
              <w:shd w:val="solid" w:color="FFFFFF" w:fill="auto"/>
              <w:kinsoku/>
              <w:wordWrap/>
              <w:overflowPunct/>
              <w:topLinePunct w:val="0"/>
              <w:autoSpaceDE/>
              <w:autoSpaceDN w:val="0"/>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6.投标人营业执照经营范围内须具备招标代理业务。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投标保证金</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firstLine="45" w:firstLineChars="19"/>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投标文件份数</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正本壹份，副本肆份（技术资信标与价格标分别装订、分别包装）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投标文件的组成</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（1）技术资信标部分组成</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1）法定代表人授权委托书；</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2）营业执照；</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3）同类项目情况，附材料；</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4）报名人资格的证明文件；</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5）服务方案；</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6）响应报名人情况介绍；</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7）项目实施人员一览表及证明资料</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8）其他响应报名方认为有必要提供的资料。</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（2）价格标部分组成</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1）响应函；</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2）报价一览表；</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3）投标人认为有必要提供的其他资料。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封套上写明</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招标单位：</w:t>
            </w:r>
            <w:r>
              <w:rPr>
                <w:rFonts w:hint="eastAsia" w:ascii="宋体" w:hAnsi="宋体" w:eastAsia="宋体" w:cs="宋体"/>
                <w:bCs/>
                <w:color w:val="auto"/>
                <w:sz w:val="24"/>
                <w:szCs w:val="24"/>
                <w:highlight w:val="none"/>
                <w:lang w:eastAsia="zh-CN"/>
              </w:rPr>
              <w:t>金华市医疗保障中心</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金华市医疗保障中心年度采购项目委托代理机构服务项目</w:t>
            </w:r>
            <w:r>
              <w:rPr>
                <w:rFonts w:hint="eastAsia" w:ascii="宋体" w:hAnsi="宋体" w:eastAsia="宋体" w:cs="宋体"/>
                <w:bCs/>
                <w:color w:val="auto"/>
                <w:sz w:val="24"/>
                <w:szCs w:val="24"/>
                <w:highlight w:val="none"/>
              </w:rPr>
              <w:t>技术资信标或</w:t>
            </w:r>
            <w:r>
              <w:rPr>
                <w:rFonts w:hint="eastAsia" w:ascii="宋体" w:hAnsi="宋体" w:eastAsia="宋体" w:cs="宋体"/>
                <w:bCs/>
                <w:color w:val="auto"/>
                <w:sz w:val="24"/>
                <w:szCs w:val="24"/>
                <w:highlight w:val="none"/>
                <w:lang w:eastAsia="zh-CN"/>
              </w:rPr>
              <w:t>金华市医疗保障中心年度采购项目委托代理机构服务项目</w:t>
            </w:r>
            <w:r>
              <w:rPr>
                <w:rFonts w:hint="eastAsia" w:ascii="宋体" w:hAnsi="宋体" w:eastAsia="宋体" w:cs="宋体"/>
                <w:bCs/>
                <w:color w:val="auto"/>
                <w:sz w:val="24"/>
                <w:szCs w:val="24"/>
                <w:highlight w:val="none"/>
              </w:rPr>
              <w:t>价格标</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在2022年</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日</w:t>
            </w: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 xml:space="preserve"> 时 </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0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递交投标文件地点</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邮寄金华市医疗保障中心1804办公室 姜女士收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开标时间和地点</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开标时间：2022年</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17</w:t>
            </w:r>
            <w:r>
              <w:rPr>
                <w:rFonts w:hint="eastAsia" w:ascii="宋体" w:hAnsi="宋体" w:eastAsia="宋体" w:cs="宋体"/>
                <w:bCs/>
                <w:color w:val="auto"/>
                <w:sz w:val="24"/>
                <w:szCs w:val="24"/>
                <w:highlight w:val="none"/>
              </w:rPr>
              <w:t>日</w:t>
            </w:r>
            <w:r>
              <w:rPr>
                <w:rFonts w:hint="eastAsia" w:ascii="宋体" w:hAnsi="宋体" w:eastAsia="宋体" w:cs="宋体"/>
                <w:bCs/>
                <w:color w:val="auto"/>
                <w:sz w:val="24"/>
                <w:szCs w:val="24"/>
                <w:highlight w:val="none"/>
                <w:lang w:val="en-US" w:eastAsia="zh-CN"/>
              </w:rPr>
              <w:t>14</w:t>
            </w:r>
            <w:r>
              <w:rPr>
                <w:rFonts w:hint="eastAsia" w:ascii="宋体" w:hAnsi="宋体" w:eastAsia="宋体" w:cs="宋体"/>
                <w:bCs/>
                <w:color w:val="auto"/>
                <w:sz w:val="24"/>
                <w:szCs w:val="24"/>
                <w:highlight w:val="none"/>
              </w:rPr>
              <w:t>时</w:t>
            </w:r>
            <w:r>
              <w:rPr>
                <w:rFonts w:hint="eastAsia" w:ascii="宋体" w:hAnsi="宋体" w:eastAsia="宋体" w:cs="宋体"/>
                <w:bCs/>
                <w:color w:val="auto"/>
                <w:sz w:val="24"/>
                <w:szCs w:val="24"/>
                <w:highlight w:val="none"/>
                <w:lang w:val="en-US" w:eastAsia="zh-CN"/>
              </w:rPr>
              <w:t>30</w:t>
            </w:r>
            <w:r>
              <w:rPr>
                <w:rFonts w:hint="eastAsia" w:ascii="宋体" w:hAnsi="宋体" w:eastAsia="宋体" w:cs="宋体"/>
                <w:bCs/>
                <w:color w:val="auto"/>
                <w:sz w:val="24"/>
                <w:szCs w:val="24"/>
                <w:highlight w:val="none"/>
              </w:rPr>
              <w:t xml:space="preserve"> 分</w:t>
            </w:r>
          </w:p>
          <w:p>
            <w:pPr>
              <w:keepNext w:val="0"/>
              <w:keepLines w:val="0"/>
              <w:pageBreakBefore w:val="0"/>
              <w:kinsoku/>
              <w:wordWrap/>
              <w:overflowPunct/>
              <w:topLinePunct w:val="0"/>
              <w:autoSpaceDE/>
              <w:bidi w:val="0"/>
              <w:snapToGrid w:val="0"/>
              <w:spacing w:after="0" w:line="460" w:lineRule="exact"/>
              <w:ind w:left="0" w:leftChars="0"/>
              <w:textAlignment w:val="auto"/>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开标地点:</w:t>
            </w:r>
            <w:r>
              <w:rPr>
                <w:rFonts w:hint="eastAsia" w:ascii="宋体" w:hAnsi="宋体" w:eastAsia="宋体" w:cs="宋体"/>
                <w:bCs/>
                <w:color w:val="auto"/>
                <w:sz w:val="24"/>
                <w:szCs w:val="24"/>
                <w:highlight w:val="none"/>
                <w:lang w:val="en-US" w:eastAsia="zh-CN"/>
              </w:rPr>
              <w:t>金华市医疗保障中1831会议室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开标程序</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600" w:leftChars="0" w:hanging="600" w:hangingChars="2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（1）密封情况检查：由监标</w:t>
            </w:r>
            <w:r>
              <w:rPr>
                <w:rFonts w:hint="eastAsia" w:ascii="宋体" w:hAnsi="宋体" w:eastAsia="宋体" w:cs="宋体"/>
                <w:bCs/>
                <w:color w:val="auto"/>
                <w:sz w:val="24"/>
                <w:szCs w:val="24"/>
                <w:highlight w:val="none"/>
                <w:lang w:eastAsia="zh-CN"/>
              </w:rPr>
              <w:t>人或投标人代表</w:t>
            </w:r>
            <w:r>
              <w:rPr>
                <w:rFonts w:hint="eastAsia" w:ascii="宋体" w:hAnsi="宋体" w:eastAsia="宋体" w:cs="宋体"/>
                <w:bCs/>
                <w:color w:val="auto"/>
                <w:sz w:val="24"/>
                <w:szCs w:val="24"/>
                <w:highlight w:val="none"/>
              </w:rPr>
              <w:t>检查投标文件的密封情况</w:t>
            </w:r>
          </w:p>
          <w:p>
            <w:pPr>
              <w:keepNext w:val="0"/>
              <w:keepLines w:val="0"/>
              <w:pageBreakBefore w:val="0"/>
              <w:kinsoku/>
              <w:wordWrap/>
              <w:overflowPunct/>
              <w:topLinePunct w:val="0"/>
              <w:autoSpaceDE/>
              <w:bidi w:val="0"/>
              <w:snapToGrid w:val="0"/>
              <w:spacing w:after="0" w:line="460" w:lineRule="exact"/>
              <w:ind w:left="600" w:leftChars="0" w:hanging="600" w:hangingChars="2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（2）开标顺序：按递交文件的顺序开标；先开技术资信标，</w:t>
            </w:r>
          </w:p>
          <w:p>
            <w:pPr>
              <w:keepNext w:val="0"/>
              <w:keepLines w:val="0"/>
              <w:pageBreakBefore w:val="0"/>
              <w:kinsoku/>
              <w:wordWrap/>
              <w:overflowPunct/>
              <w:topLinePunct w:val="0"/>
              <w:autoSpaceDE/>
              <w:bidi w:val="0"/>
              <w:snapToGrid w:val="0"/>
              <w:spacing w:after="0" w:line="460" w:lineRule="exact"/>
              <w:ind w:left="600" w:leftChars="0" w:hanging="600" w:hangingChars="25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再开价格标（资信审查通不过的商务投标文件不再开启）。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评标委员会的组建</w:t>
            </w:r>
          </w:p>
        </w:tc>
        <w:tc>
          <w:tcPr>
            <w:tcW w:w="6390" w:type="dxa"/>
            <w:vAlign w:val="center"/>
          </w:tcPr>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评标委员会总人数: 5人，按相关规定组成。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tc>
        <w:tc>
          <w:tcPr>
            <w:tcW w:w="6390" w:type="dxa"/>
            <w:vAlign w:val="center"/>
          </w:tcPr>
          <w:p>
            <w:pPr>
              <w:pStyle w:val="12"/>
              <w:keepNext w:val="0"/>
              <w:keepLines w:val="0"/>
              <w:pageBreakBefore w:val="0"/>
              <w:kinsoku/>
              <w:wordWrap/>
              <w:overflowPunct/>
              <w:topLinePunct w:val="0"/>
              <w:autoSpaceDE/>
              <w:bidi w:val="0"/>
              <w:snapToGrid w:val="0"/>
              <w:spacing w:beforeLines="0" w:after="0" w:afterLines="0" w:line="460" w:lineRule="exact"/>
              <w:ind w:left="0" w:left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投标截止后投标人不足3家或者通过资格审查或符合性审查的投标人不足 3 家的，除采购任务取消情形外，按照以下方式处理：</w:t>
            </w:r>
          </w:p>
          <w:p>
            <w:pPr>
              <w:pStyle w:val="12"/>
              <w:keepNext w:val="0"/>
              <w:keepLines w:val="0"/>
              <w:pageBreakBefore w:val="0"/>
              <w:kinsoku/>
              <w:wordWrap/>
              <w:overflowPunct/>
              <w:topLinePunct w:val="0"/>
              <w:autoSpaceDE/>
              <w:bidi w:val="0"/>
              <w:snapToGrid w:val="0"/>
              <w:spacing w:beforeLines="0" w:after="0" w:afterLines="0" w:line="460" w:lineRule="exact"/>
              <w:ind w:left="0" w:left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1、招标文件存在不合理条款或者招标程序不符合规定的，改正后依法重新招标；</w:t>
            </w:r>
          </w:p>
          <w:p>
            <w:pPr>
              <w:keepNext w:val="0"/>
              <w:keepLines w:val="0"/>
              <w:pageBreakBefore w:val="0"/>
              <w:kinsoku/>
              <w:wordWrap/>
              <w:overflowPunct/>
              <w:topLinePunct w:val="0"/>
              <w:autoSpaceDE/>
              <w:bidi w:val="0"/>
              <w:snapToGrid w:val="0"/>
              <w:spacing w:after="0" w:line="4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2、招标文件没有不合理条款、招标程序符合规定，需要采用其他采购方式采购的，由采购人决定。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1065"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w:t>
            </w:r>
          </w:p>
        </w:tc>
        <w:tc>
          <w:tcPr>
            <w:tcW w:w="2269" w:type="dxa"/>
            <w:vAlign w:val="center"/>
          </w:tcPr>
          <w:p>
            <w:pPr>
              <w:keepNext w:val="0"/>
              <w:keepLines w:val="0"/>
              <w:pageBreakBefore w:val="0"/>
              <w:kinsoku/>
              <w:wordWrap/>
              <w:overflowPunct/>
              <w:topLinePunct w:val="0"/>
              <w:autoSpaceDE/>
              <w:bidi w:val="0"/>
              <w:snapToGrid w:val="0"/>
              <w:spacing w:after="0" w:line="46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投标报价及费用</w:t>
            </w:r>
          </w:p>
        </w:tc>
        <w:tc>
          <w:tcPr>
            <w:tcW w:w="6390" w:type="dxa"/>
            <w:vAlign w:val="center"/>
          </w:tcPr>
          <w:p>
            <w:pPr>
              <w:pStyle w:val="12"/>
              <w:keepNext w:val="0"/>
              <w:keepLines w:val="0"/>
              <w:pageBreakBefore w:val="0"/>
              <w:kinsoku/>
              <w:wordWrap/>
              <w:overflowPunct/>
              <w:topLinePunct w:val="0"/>
              <w:autoSpaceDE/>
              <w:bidi w:val="0"/>
              <w:snapToGrid w:val="0"/>
              <w:spacing w:beforeLines="0" w:after="0" w:afterLines="0" w:line="460" w:lineRule="exact"/>
              <w:ind w:left="0" w:left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1.本项目投标应以下浮率报价；</w:t>
            </w:r>
          </w:p>
          <w:p>
            <w:pPr>
              <w:pStyle w:val="12"/>
              <w:keepNext w:val="0"/>
              <w:keepLines w:val="0"/>
              <w:pageBreakBefore w:val="0"/>
              <w:kinsoku/>
              <w:wordWrap/>
              <w:overflowPunct/>
              <w:topLinePunct w:val="0"/>
              <w:autoSpaceDE/>
              <w:bidi w:val="0"/>
              <w:snapToGrid w:val="0"/>
              <w:spacing w:beforeLines="0" w:after="0" w:afterLines="0"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2.不论投标结果如何，投标人均应自行承担所有与投标有</w:t>
            </w:r>
          </w:p>
        </w:tc>
      </w:tr>
    </w:tbl>
    <w:p>
      <w:pPr>
        <w:rPr>
          <w:rFonts w:hint="eastAsia" w:ascii="宋体" w:hAnsi="宋体" w:eastAsia="宋体" w:cs="宋体"/>
          <w:color w:val="auto"/>
          <w:highlight w:val="none"/>
        </w:rPr>
        <w:sectPr>
          <w:headerReference r:id="rId3" w:type="first"/>
          <w:footerReference r:id="rId5" w:type="first"/>
          <w:footerReference r:id="rId4" w:type="default"/>
          <w:pgSz w:w="11906" w:h="16838"/>
          <w:pgMar w:top="1418" w:right="1418" w:bottom="1418" w:left="1418" w:header="851" w:footer="992" w:gutter="0"/>
          <w:pgNumType w:fmt="decimal" w:start="0"/>
          <w:cols w:space="720" w:num="1"/>
          <w:titlePg/>
          <w:docGrid w:type="lines" w:linePitch="312" w:charSpace="0"/>
        </w:sect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第四章 评标办法</w:t>
      </w:r>
    </w:p>
    <w:p>
      <w:pPr>
        <w:pStyle w:val="3"/>
        <w:keepNext w:val="0"/>
        <w:keepLines w:val="0"/>
        <w:pageBreakBefore w:val="0"/>
        <w:kinsoku/>
        <w:wordWrap/>
        <w:overflowPunct/>
        <w:topLinePunct w:val="0"/>
        <w:autoSpaceDE/>
        <w:autoSpaceDN/>
        <w:bidi w:val="0"/>
        <w:spacing w:after="0" w:line="400" w:lineRule="exact"/>
        <w:ind w:left="440" w:right="0" w:rightChars="0" w:firstLine="480" w:firstLineChars="200"/>
        <w:textAlignment w:val="auto"/>
        <w:rPr>
          <w:rFonts w:hint="eastAsia" w:ascii="宋体" w:hAnsi="宋体" w:eastAsia="宋体" w:cs="宋体"/>
          <w:color w:val="auto"/>
          <w:sz w:val="24"/>
          <w:szCs w:val="24"/>
          <w:highlight w:val="none"/>
        </w:rPr>
      </w:pPr>
    </w:p>
    <w:p>
      <w:pPr>
        <w:pStyle w:val="3"/>
        <w:keepNext w:val="0"/>
        <w:keepLines w:val="0"/>
        <w:pageBreakBefore w:val="0"/>
        <w:kinsoku/>
        <w:wordWrap/>
        <w:overflowPunct/>
        <w:topLinePunct w:val="0"/>
        <w:autoSpaceDE/>
        <w:autoSpaceDN/>
        <w:bidi w:val="0"/>
        <w:spacing w:after="0" w:line="400" w:lineRule="exact"/>
        <w:ind w:left="44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参照《中华人民共和国政府采购法》、《中华人民共和国招标投标法》以及金华市的有关规定，更好地做到公开、公平、公正，结合本次招标项目的特点，特制定本评标定标办法。</w:t>
      </w:r>
    </w:p>
    <w:p>
      <w:pPr>
        <w:keepNext w:val="0"/>
        <w:keepLines w:val="0"/>
        <w:pageBreakBefore w:val="0"/>
        <w:kinsoku/>
        <w:wordWrap/>
        <w:overflowPunct/>
        <w:topLinePunct w:val="0"/>
        <w:autoSpaceDE/>
        <w:autoSpaceDN/>
        <w:bidi w:val="0"/>
        <w:spacing w:after="0" w:line="400" w:lineRule="exact"/>
        <w:ind w:right="0" w:rightChars="0" w:firstLine="482"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 、评标组织</w:t>
      </w:r>
    </w:p>
    <w:p>
      <w:pPr>
        <w:keepNext w:val="0"/>
        <w:keepLines w:val="0"/>
        <w:pageBreakBefore w:val="0"/>
        <w:kinsoku/>
        <w:wordWrap/>
        <w:overflowPunct/>
        <w:topLinePunct w:val="0"/>
        <w:autoSpaceDE/>
        <w:autoSpaceDN/>
        <w:bidi w:val="0"/>
        <w:spacing w:after="0" w:line="400" w:lineRule="exact"/>
        <w:ind w:right="0" w:righ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评标委员会由采购人代表和评审专家单数组成。</w:t>
      </w:r>
    </w:p>
    <w:p>
      <w:pPr>
        <w:keepNext w:val="0"/>
        <w:keepLines w:val="0"/>
        <w:pageBreakBefore w:val="0"/>
        <w:kinsoku/>
        <w:wordWrap/>
        <w:overflowPunct/>
        <w:topLinePunct w:val="0"/>
        <w:autoSpaceDE/>
        <w:autoSpaceDN/>
        <w:bidi w:val="0"/>
        <w:spacing w:after="0" w:line="400" w:lineRule="exact"/>
        <w:ind w:right="0" w:rightChars="0" w:firstLine="482"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 、评（定）标方法：</w:t>
      </w:r>
    </w:p>
    <w:p>
      <w:pPr>
        <w:keepNext w:val="0"/>
        <w:keepLines w:val="0"/>
        <w:pageBreakBefore w:val="0"/>
        <w:numPr>
          <w:ilvl w:val="0"/>
          <w:numId w:val="2"/>
        </w:numPr>
        <w:kinsoku/>
        <w:wordWrap/>
        <w:overflowPunct/>
        <w:topLinePunct w:val="0"/>
        <w:autoSpaceDE/>
        <w:autoSpaceDN/>
        <w:bidi w:val="0"/>
        <w:spacing w:after="0" w:line="400" w:lineRule="exact"/>
        <w:ind w:right="0" w:righ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技术分90分</w:t>
      </w:r>
    </w:p>
    <w:tbl>
      <w:tblPr>
        <w:tblStyle w:val="18"/>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035"/>
        <w:gridCol w:w="6638"/>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39"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序号</w:t>
            </w:r>
          </w:p>
        </w:tc>
        <w:tc>
          <w:tcPr>
            <w:tcW w:w="1035"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评审</w:t>
            </w:r>
          </w:p>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内容</w:t>
            </w: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评分标准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39"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w:t>
            </w:r>
          </w:p>
        </w:tc>
        <w:tc>
          <w:tcPr>
            <w:tcW w:w="1035"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企业</w:t>
            </w:r>
          </w:p>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资信</w:t>
            </w:r>
          </w:p>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highlight w:val="none"/>
                <w:lang w:val="zh-CN"/>
              </w:rPr>
              <w:t>经营能力：根据投标人</w:t>
            </w:r>
            <w:r>
              <w:rPr>
                <w:rFonts w:hint="eastAsia" w:ascii="宋体" w:hAnsi="宋体" w:eastAsia="宋体" w:cs="宋体"/>
                <w:color w:val="FF0000"/>
                <w:sz w:val="24"/>
                <w:szCs w:val="24"/>
                <w:highlight w:val="none"/>
              </w:rPr>
              <w:t>整体</w:t>
            </w:r>
            <w:r>
              <w:rPr>
                <w:rFonts w:hint="eastAsia" w:ascii="宋体" w:hAnsi="宋体" w:eastAsia="宋体" w:cs="宋体"/>
                <w:color w:val="FF0000"/>
                <w:sz w:val="24"/>
                <w:szCs w:val="24"/>
                <w:highlight w:val="none"/>
                <w:lang w:val="zh-CN"/>
              </w:rPr>
              <w:t>经</w:t>
            </w:r>
            <w:r>
              <w:rPr>
                <w:rFonts w:hint="eastAsia" w:ascii="宋体" w:hAnsi="宋体" w:eastAsia="宋体" w:cs="宋体"/>
                <w:color w:val="FF0000"/>
                <w:sz w:val="24"/>
                <w:szCs w:val="24"/>
                <w:highlight w:val="none"/>
              </w:rPr>
              <w:t>营情况、综合实力、政府采购业务行业认可度等方面综合判断，专业从事政府采购业务优秀的且常驻工作人员</w:t>
            </w:r>
            <w:r>
              <w:rPr>
                <w:rFonts w:hint="eastAsia" w:ascii="宋体" w:hAnsi="宋体" w:eastAsia="宋体" w:cs="宋体"/>
                <w:color w:val="FF0000"/>
                <w:sz w:val="24"/>
                <w:szCs w:val="24"/>
                <w:highlight w:val="none"/>
                <w:lang w:val="en-US" w:eastAsia="zh-CN"/>
              </w:rPr>
              <w:t>6</w:t>
            </w:r>
            <w:r>
              <w:rPr>
                <w:rFonts w:hint="eastAsia" w:ascii="宋体" w:hAnsi="宋体" w:eastAsia="宋体" w:cs="宋体"/>
                <w:color w:val="FF0000"/>
                <w:sz w:val="24"/>
                <w:szCs w:val="24"/>
                <w:highlight w:val="none"/>
              </w:rPr>
              <w:t>人以上得</w:t>
            </w:r>
            <w:r>
              <w:rPr>
                <w:rFonts w:hint="eastAsia" w:ascii="宋体" w:hAnsi="宋体" w:eastAsia="宋体" w:cs="宋体"/>
                <w:color w:val="FF0000"/>
                <w:sz w:val="24"/>
                <w:szCs w:val="24"/>
                <w:highlight w:val="none"/>
                <w:lang w:val="en-US" w:eastAsia="zh-CN"/>
              </w:rPr>
              <w:t>10</w:t>
            </w:r>
            <w:r>
              <w:rPr>
                <w:rFonts w:hint="eastAsia" w:ascii="宋体" w:hAnsi="宋体" w:eastAsia="宋体" w:cs="宋体"/>
                <w:color w:val="FF0000"/>
                <w:sz w:val="24"/>
                <w:szCs w:val="24"/>
                <w:highlight w:val="none"/>
              </w:rPr>
              <w:t>分，良好的且常驻工作人员</w:t>
            </w:r>
            <w:r>
              <w:rPr>
                <w:rFonts w:hint="eastAsia" w:ascii="宋体" w:hAnsi="宋体" w:eastAsia="宋体" w:cs="宋体"/>
                <w:color w:val="FF0000"/>
                <w:sz w:val="24"/>
                <w:szCs w:val="24"/>
                <w:highlight w:val="none"/>
                <w:lang w:val="en-US" w:eastAsia="zh-CN"/>
              </w:rPr>
              <w:t>5</w:t>
            </w:r>
            <w:r>
              <w:rPr>
                <w:rFonts w:hint="eastAsia" w:ascii="宋体" w:hAnsi="宋体" w:eastAsia="宋体" w:cs="宋体"/>
                <w:color w:val="FF0000"/>
                <w:sz w:val="24"/>
                <w:szCs w:val="24"/>
                <w:highlight w:val="none"/>
              </w:rPr>
              <w:t>人得</w:t>
            </w:r>
            <w:r>
              <w:rPr>
                <w:rFonts w:hint="eastAsia" w:ascii="宋体" w:hAnsi="宋体" w:eastAsia="宋体" w:cs="宋体"/>
                <w:color w:val="FF0000"/>
                <w:sz w:val="24"/>
                <w:szCs w:val="24"/>
                <w:highlight w:val="none"/>
                <w:lang w:val="en-US" w:eastAsia="zh-CN"/>
              </w:rPr>
              <w:t>5</w:t>
            </w:r>
            <w:r>
              <w:rPr>
                <w:rFonts w:hint="eastAsia" w:ascii="宋体" w:hAnsi="宋体" w:eastAsia="宋体" w:cs="宋体"/>
                <w:color w:val="FF0000"/>
                <w:sz w:val="24"/>
                <w:szCs w:val="24"/>
                <w:highlight w:val="none"/>
              </w:rPr>
              <w:t>分，一般的且常驻工作人员</w:t>
            </w:r>
            <w:r>
              <w:rPr>
                <w:rFonts w:hint="eastAsia" w:ascii="宋体" w:hAnsi="宋体" w:eastAsia="宋体" w:cs="宋体"/>
                <w:color w:val="FF0000"/>
                <w:sz w:val="24"/>
                <w:szCs w:val="24"/>
                <w:highlight w:val="none"/>
                <w:lang w:val="en-US" w:eastAsia="zh-CN"/>
              </w:rPr>
              <w:t>4</w:t>
            </w:r>
            <w:r>
              <w:rPr>
                <w:rFonts w:hint="eastAsia" w:ascii="宋体" w:hAnsi="宋体" w:eastAsia="宋体" w:cs="宋体"/>
                <w:color w:val="FF0000"/>
                <w:sz w:val="24"/>
                <w:szCs w:val="24"/>
                <w:highlight w:val="none"/>
              </w:rPr>
              <w:t>人以下得</w:t>
            </w:r>
            <w:r>
              <w:rPr>
                <w:rFonts w:hint="eastAsia" w:ascii="宋体" w:hAnsi="宋体" w:eastAsia="宋体" w:cs="宋体"/>
                <w:color w:val="FF0000"/>
                <w:sz w:val="24"/>
                <w:szCs w:val="24"/>
                <w:highlight w:val="none"/>
                <w:lang w:val="en-US" w:eastAsia="zh-CN"/>
              </w:rPr>
              <w:t>3</w:t>
            </w:r>
            <w:r>
              <w:rPr>
                <w:rFonts w:hint="eastAsia" w:ascii="宋体" w:hAnsi="宋体" w:eastAsia="宋体" w:cs="宋体"/>
                <w:color w:val="FF0000"/>
                <w:sz w:val="24"/>
                <w:szCs w:val="24"/>
                <w:highlight w:val="none"/>
              </w:rPr>
              <w:t>分。</w:t>
            </w:r>
            <w:r>
              <w:rPr>
                <w:rFonts w:hint="eastAsia" w:ascii="宋体" w:hAnsi="宋体" w:eastAsia="宋体" w:cs="宋体"/>
                <w:color w:val="FF0000"/>
                <w:kern w:val="0"/>
                <w:sz w:val="24"/>
                <w:szCs w:val="24"/>
                <w:highlight w:val="none"/>
              </w:rPr>
              <w:t>[需提供</w:t>
            </w:r>
            <w:r>
              <w:rPr>
                <w:rFonts w:hint="eastAsia" w:ascii="宋体" w:hAnsi="宋体" w:eastAsia="宋体" w:cs="宋体"/>
                <w:color w:val="FF0000"/>
                <w:sz w:val="24"/>
                <w:szCs w:val="24"/>
                <w:highlight w:val="none"/>
              </w:rPr>
              <w:t>常驻工作人员近</w:t>
            </w:r>
            <w:r>
              <w:rPr>
                <w:rFonts w:hint="eastAsia" w:ascii="宋体" w:hAnsi="宋体" w:eastAsia="宋体" w:cs="宋体"/>
                <w:color w:val="FF0000"/>
                <w:sz w:val="24"/>
                <w:szCs w:val="24"/>
                <w:highlight w:val="none"/>
                <w:lang w:val="en-US" w:eastAsia="zh-CN"/>
              </w:rPr>
              <w:t>三</w:t>
            </w:r>
            <w:r>
              <w:rPr>
                <w:rFonts w:hint="eastAsia" w:ascii="宋体" w:hAnsi="宋体" w:eastAsia="宋体" w:cs="宋体"/>
                <w:color w:val="FF0000"/>
                <w:sz w:val="24"/>
                <w:szCs w:val="24"/>
                <w:highlight w:val="none"/>
              </w:rPr>
              <w:t>个月的在职社保缴纳材料</w:t>
            </w:r>
            <w:r>
              <w:rPr>
                <w:rFonts w:hint="eastAsia" w:ascii="宋体" w:hAnsi="宋体" w:eastAsia="宋体" w:cs="宋体"/>
                <w:color w:val="FF0000"/>
                <w:kern w:val="0"/>
                <w:sz w:val="24"/>
                <w:szCs w:val="24"/>
                <w:highlight w:val="none"/>
              </w:rPr>
              <w:t>]</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pacing w:val="-4"/>
                <w:sz w:val="24"/>
                <w:szCs w:val="24"/>
                <w:highlight w:val="none"/>
              </w:rPr>
            </w:pPr>
            <w:r>
              <w:rPr>
                <w:rFonts w:hint="eastAsia" w:ascii="宋体" w:hAnsi="宋体" w:eastAsia="宋体" w:cs="宋体"/>
                <w:color w:val="FF0000"/>
                <w:spacing w:val="-4"/>
                <w:sz w:val="24"/>
                <w:szCs w:val="24"/>
                <w:highlight w:val="none"/>
              </w:rPr>
              <w:t>投标人2019年1月1日以来承接的货物类招标代理项目单个中标金额达50-199万元（含）的，每个项目业绩得1分，中标金额200万元及以上的，每个得2分，最高得</w:t>
            </w:r>
            <w:r>
              <w:rPr>
                <w:rFonts w:hint="eastAsia" w:ascii="宋体" w:hAnsi="宋体" w:eastAsia="宋体" w:cs="宋体"/>
                <w:color w:val="FF0000"/>
                <w:spacing w:val="-4"/>
                <w:sz w:val="24"/>
                <w:szCs w:val="24"/>
                <w:highlight w:val="none"/>
                <w:lang w:val="en-US" w:eastAsia="zh-CN"/>
              </w:rPr>
              <w:t>12</w:t>
            </w:r>
            <w:r>
              <w:rPr>
                <w:rFonts w:hint="eastAsia" w:ascii="宋体" w:hAnsi="宋体" w:eastAsia="宋体" w:cs="宋体"/>
                <w:color w:val="FF0000"/>
                <w:spacing w:val="-4"/>
                <w:sz w:val="24"/>
                <w:szCs w:val="24"/>
                <w:highlight w:val="none"/>
              </w:rPr>
              <w:t>分。</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kern w:val="0"/>
                <w:sz w:val="24"/>
                <w:szCs w:val="24"/>
              </w:rPr>
            </w:pPr>
            <w:r>
              <w:rPr>
                <w:rFonts w:hint="eastAsia" w:ascii="宋体" w:hAnsi="宋体" w:eastAsia="宋体" w:cs="宋体"/>
                <w:color w:val="FF0000"/>
                <w:sz w:val="24"/>
                <w:szCs w:val="24"/>
                <w:highlight w:val="none"/>
              </w:rPr>
              <w:t>2019年1月1日以来承接的服务类招标代理项目单个中标金额达50-199万元（含）的，每个项目业绩得1分，中标金额200万元及以上的，每个得2分，最高得</w:t>
            </w:r>
            <w:r>
              <w:rPr>
                <w:rFonts w:hint="eastAsia" w:ascii="宋体" w:hAnsi="宋体" w:eastAsia="宋体" w:cs="宋体"/>
                <w:color w:val="FF0000"/>
                <w:sz w:val="24"/>
                <w:szCs w:val="24"/>
                <w:highlight w:val="none"/>
                <w:lang w:val="en-US" w:eastAsia="zh-CN"/>
              </w:rPr>
              <w:t>12</w:t>
            </w:r>
            <w:r>
              <w:rPr>
                <w:rFonts w:hint="eastAsia" w:ascii="宋体" w:hAnsi="宋体" w:eastAsia="宋体" w:cs="宋体"/>
                <w:color w:val="FF0000"/>
                <w:sz w:val="24"/>
                <w:szCs w:val="24"/>
                <w:highlight w:val="none"/>
              </w:rPr>
              <w:t>分。（投标人须提供网上中标公告的截图复印件）</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lang w:eastAsia="zh-CN"/>
              </w:rPr>
            </w:pPr>
            <w:r>
              <w:rPr>
                <w:rFonts w:hint="eastAsia" w:ascii="宋体" w:hAnsi="宋体" w:eastAsia="宋体" w:cs="宋体"/>
                <w:color w:val="FF0000"/>
                <w:sz w:val="24"/>
                <w:szCs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w:t>
            </w:r>
          </w:p>
        </w:tc>
        <w:tc>
          <w:tcPr>
            <w:tcW w:w="1035"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本地化服务能力</w:t>
            </w: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（1）投标人针对本项目的，在金华市区范围（含金东、婺城、开发区）设有固定经营地点、面积在400㎡（含）以上并具备设置完善的开标室、评标室、资料室等场所和固定监控设施的得9分；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kern w:val="0"/>
                <w:sz w:val="24"/>
                <w:szCs w:val="24"/>
              </w:rPr>
            </w:pPr>
            <w:r>
              <w:rPr>
                <w:rFonts w:hint="eastAsia" w:ascii="宋体" w:hAnsi="宋体" w:eastAsia="宋体" w:cs="宋体"/>
                <w:color w:val="FF0000"/>
                <w:sz w:val="24"/>
                <w:szCs w:val="24"/>
              </w:rPr>
              <w:t>（2）投标人针对本项目的，在金华市区范围（含金东、婺城、开发区）设有固定经营地点、面积在300㎡（含）以上并具备设置完善的开标室、评标室、资料室等场所和固定监控设施的得7分；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（3）投标人针对本项目的，在金华市区范围（含金东、婺城、开发区）设有固定经营地点、面积在200 ㎡（含）以上并具备设置完善的开标室、评标室、资料室等场所和固定监控设施的得5分；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（4）投标人针对本项目的，在金华市区范围（含金东、婺城、开发区）设有固定经营地点的，但不属于以上（1）（2）（3）条情况的得2分。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[提供办公营业场所面积的相关依据文件（</w:t>
            </w:r>
            <w:r>
              <w:rPr>
                <w:rFonts w:hint="eastAsia" w:ascii="宋体" w:hAnsi="宋体" w:eastAsia="宋体" w:cs="宋体"/>
                <w:b/>
                <w:color w:val="FF0000"/>
                <w:sz w:val="24"/>
                <w:szCs w:val="24"/>
              </w:rPr>
              <w:t>如房屋租赁合同或房屋产权证复印件、</w:t>
            </w:r>
            <w:r>
              <w:rPr>
                <w:rFonts w:hint="eastAsia" w:ascii="宋体" w:hAnsi="宋体" w:eastAsia="宋体" w:cs="宋体"/>
                <w:color w:val="FF0000"/>
                <w:sz w:val="24"/>
                <w:szCs w:val="24"/>
              </w:rPr>
              <w:t>现场实景图片等），缺少一不得分。</w:t>
            </w:r>
            <w:r>
              <w:rPr>
                <w:rFonts w:hint="eastAsia" w:ascii="宋体" w:hAnsi="宋体" w:eastAsia="宋体" w:cs="宋体"/>
                <w:color w:val="FF0000"/>
                <w:sz w:val="24"/>
                <w:szCs w:val="24"/>
                <w:lang w:eastAsia="zh-CN"/>
              </w:rPr>
              <w:t>营业执照地址与实际经营地址不一致的不得分。</w:t>
            </w:r>
            <w:r>
              <w:rPr>
                <w:rFonts w:hint="eastAsia" w:ascii="宋体" w:hAnsi="宋体" w:eastAsia="宋体" w:cs="宋体"/>
                <w:color w:val="FF0000"/>
                <w:sz w:val="24"/>
                <w:szCs w:val="24"/>
              </w:rPr>
              <w:t>]</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拟派本地服务团队负责人资历：</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（1）服务团队负责人代理能力：</w:t>
            </w:r>
            <w:r>
              <w:rPr>
                <w:rFonts w:hint="eastAsia" w:ascii="宋体" w:hAnsi="宋体" w:eastAsia="宋体" w:cs="宋体"/>
                <w:color w:val="FF0000"/>
                <w:sz w:val="24"/>
                <w:szCs w:val="24"/>
                <w:highlight w:val="none"/>
              </w:rPr>
              <w:t>2021年</w:t>
            </w:r>
            <w:r>
              <w:rPr>
                <w:rFonts w:hint="eastAsia" w:ascii="宋体" w:hAnsi="宋体" w:eastAsia="宋体" w:cs="宋体"/>
                <w:color w:val="FF0000"/>
                <w:sz w:val="24"/>
                <w:szCs w:val="24"/>
                <w:highlight w:val="none"/>
                <w:lang w:val="en-US" w:eastAsia="zh-CN"/>
              </w:rPr>
              <w:t>以来</w:t>
            </w:r>
            <w:r>
              <w:rPr>
                <w:rFonts w:hint="eastAsia" w:ascii="宋体" w:hAnsi="宋体" w:eastAsia="宋体" w:cs="宋体"/>
                <w:color w:val="FF0000"/>
                <w:sz w:val="24"/>
                <w:szCs w:val="24"/>
                <w:highlight w:val="none"/>
              </w:rPr>
              <w:t>负责20个以上</w:t>
            </w:r>
            <w:r>
              <w:rPr>
                <w:rFonts w:hint="eastAsia" w:ascii="宋体" w:hAnsi="宋体" w:eastAsia="宋体" w:cs="宋体"/>
                <w:color w:val="FF0000"/>
                <w:sz w:val="24"/>
                <w:szCs w:val="24"/>
              </w:rPr>
              <w:t xml:space="preserve">代理项目的得5分，10（含）-20个的得3分，10个以下的得2分（以浙江政府采购网招标公告中的采购机构联系人为准，截图打印加盖公章）。                                            </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 xml:space="preserve">（2）承诺项目参与率达100%，全程全域全员把控采购项目的，得2分；否则不得分（以承诺书为准并列入考核）。              </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（3）服务团队负责人在政府采购行业（领域）从业满5年及以上的得5分；满4年的得4分；满3年的得3分；满2年的得2分；其他不得分。 （提供身份证复印件、入职初始月份或响应年限月份的社保材料或从业相关单位的证明材料，不提供或未在社保清单内的人员不得分；若非本地企业提供非本地在职社保材料的第（3）项减半得分。）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本地服务团队成员资历（团队负责人除外）：</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（1）服务团队人员整体资历、曾参与的政府采购代理项目情况0-</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 xml:space="preserve">分。 </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（2）团队人员稳定性：团队服务人员在投标企业任职满3年以上的每人得2分，任职满1-3年的每人得1分，最高得</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rPr>
              <w:t>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（3）专业能力：团队成员中具有政府采购代理机构从业人员业务培训证书或通过政府采购类业务培训合格（结业）证书或招标采购从业人员专业技术能力评价证书的，每人得1分，最高5分。</w:t>
            </w:r>
          </w:p>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（上述人员提供入职初始月份或响应年限月份的社保材料，不提供或未在社保清单内的人员不得分；若非本地企业提供非本地在职社保材料的第（2）项减半得分。）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bCs/>
                <w:color w:val="FF0000"/>
                <w:sz w:val="24"/>
                <w:szCs w:val="24"/>
              </w:rPr>
              <w:t>承诺服务期内服务现场响应时间1小时之内到达采购人现场，得2分；服务期内服务现场响应时间2小时内到达采购人现场，得1分；2小时以上到达采购人现场，得0分。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3</w:t>
            </w:r>
          </w:p>
        </w:tc>
        <w:tc>
          <w:tcPr>
            <w:tcW w:w="1035" w:type="dxa"/>
            <w:vMerge w:val="restart"/>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服务</w:t>
            </w:r>
          </w:p>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方案</w:t>
            </w:r>
          </w:p>
          <w:p>
            <w:pPr>
              <w:pStyle w:val="2"/>
              <w:keepNext w:val="0"/>
              <w:keepLines w:val="0"/>
              <w:pageBreakBefore w:val="0"/>
              <w:kinsoku/>
              <w:wordWrap/>
              <w:overflowPunct/>
              <w:topLinePunct w:val="0"/>
              <w:autoSpaceDE/>
              <w:autoSpaceDN/>
              <w:bidi w:val="0"/>
              <w:spacing w:after="0" w:line="400" w:lineRule="exact"/>
              <w:ind w:left="560" w:right="0" w:rightChars="0"/>
              <w:textAlignment w:val="auto"/>
              <w:outlineLvl w:val="9"/>
              <w:rPr>
                <w:rFonts w:hint="eastAsia" w:ascii="宋体" w:hAnsi="宋体" w:eastAsia="宋体" w:cs="宋体"/>
                <w:color w:val="FF0000"/>
                <w:kern w:val="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采购代理方案（货物、服务）和采购全过程的科学性和可行性，针对采购人采购项目的难点、要点和关键点进行阐述及有效代理措施</w:t>
            </w:r>
            <w:r>
              <w:rPr>
                <w:rFonts w:hint="eastAsia" w:ascii="宋体" w:hAnsi="宋体" w:eastAsia="宋体" w:cs="宋体"/>
                <w:color w:val="FF0000"/>
                <w:sz w:val="24"/>
                <w:szCs w:val="24"/>
                <w:lang w:val="en-US" w:eastAsia="zh-CN"/>
              </w:rPr>
              <w:t>0-3分</w:t>
            </w:r>
            <w:r>
              <w:rPr>
                <w:rFonts w:hint="eastAsia" w:ascii="宋体" w:hAnsi="宋体" w:eastAsia="宋体" w:cs="宋体"/>
                <w:color w:val="FF0000"/>
                <w:sz w:val="24"/>
                <w:szCs w:val="24"/>
              </w:rPr>
              <w:t>。</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减少或防止采购项目非正常流标或废标的措施，有预案工作流程的</w:t>
            </w:r>
            <w:r>
              <w:rPr>
                <w:rFonts w:hint="eastAsia" w:ascii="宋体" w:hAnsi="宋体" w:eastAsia="宋体" w:cs="宋体"/>
                <w:color w:val="FF0000"/>
                <w:sz w:val="24"/>
                <w:szCs w:val="24"/>
                <w:lang w:val="en-US" w:eastAsia="zh-CN"/>
              </w:rPr>
              <w:t>0-3分</w:t>
            </w:r>
            <w:r>
              <w:rPr>
                <w:rFonts w:hint="eastAsia" w:ascii="宋体" w:hAnsi="宋体" w:eastAsia="宋体" w:cs="宋体"/>
                <w:color w:val="FF0000"/>
                <w:sz w:val="24"/>
                <w:szCs w:val="24"/>
              </w:rPr>
              <w:t>。</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jc w:val="left"/>
              <w:textAlignment w:val="auto"/>
              <w:outlineLvl w:val="9"/>
              <w:rPr>
                <w:rFonts w:hint="eastAsia" w:ascii="宋体" w:hAnsi="宋体" w:eastAsia="宋体" w:cs="宋体"/>
                <w:strike/>
                <w:color w:val="FF0000"/>
                <w:sz w:val="24"/>
                <w:szCs w:val="24"/>
              </w:rPr>
            </w:pPr>
            <w:r>
              <w:rPr>
                <w:rFonts w:hint="eastAsia" w:ascii="宋体" w:hAnsi="宋体" w:eastAsia="宋体" w:cs="宋体"/>
                <w:color w:val="FF0000"/>
                <w:sz w:val="24"/>
                <w:szCs w:val="24"/>
              </w:rPr>
              <w:t>开标现场组织管理及疫情防控管理措施，确保招标代理从业人员廉政建设及保密制度的保证措施</w:t>
            </w:r>
            <w:r>
              <w:rPr>
                <w:rFonts w:hint="eastAsia" w:ascii="宋体" w:hAnsi="宋体" w:eastAsia="宋体" w:cs="宋体"/>
                <w:color w:val="FF0000"/>
                <w:sz w:val="24"/>
                <w:szCs w:val="24"/>
                <w:lang w:val="en-US" w:eastAsia="zh-CN"/>
              </w:rPr>
              <w:t>0-3分</w:t>
            </w:r>
            <w:r>
              <w:rPr>
                <w:rFonts w:hint="eastAsia" w:ascii="宋体" w:hAnsi="宋体" w:eastAsia="宋体" w:cs="宋体"/>
                <w:color w:val="FF0000"/>
                <w:sz w:val="24"/>
                <w:szCs w:val="24"/>
              </w:rPr>
              <w:t>。</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strike/>
                <w:color w:val="FF0000"/>
                <w:sz w:val="24"/>
                <w:szCs w:val="24"/>
              </w:rPr>
            </w:pPr>
            <w:r>
              <w:rPr>
                <w:rFonts w:hint="eastAsia" w:ascii="宋体" w:hAnsi="宋体" w:eastAsia="宋体" w:cs="宋体"/>
                <w:color w:val="FF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Merge w:val="continue"/>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采购资料汇编制作能力，完整性（有目录不缺项）、时效性（承诺汇编送达及时）：（1）承诺资料完整，无错装、漏装的，得1分；否则不得分。（2）承诺开标结束后3天内（含）制作完毕的得1分，5天后制作完毕的不得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639"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4</w:t>
            </w:r>
          </w:p>
        </w:tc>
        <w:tc>
          <w:tcPr>
            <w:tcW w:w="1035"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质疑投诉事项的处理能力</w:t>
            </w: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（1）处理质疑投诉事项专业人员的组成、素质、能力及经验情况，质疑处理岗位和项目经办岗位分离情况0-2分。</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（2）根据采购单位项目招标内容的实际，并结合自身工作经验，分析本项目招标采购过程中可能出现的质疑投诉事项，并提出质疑投诉事项处理预案0-2分。</w:t>
            </w:r>
          </w:p>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（3）由投标人提供一个自身执业过程中的同类项目的质疑（或投诉）及答复案例，由评审专家根据实际案例评价投标人的质疑投诉事项处理能力情况0-2分。</w:t>
            </w: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39"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p>
        </w:tc>
        <w:tc>
          <w:tcPr>
            <w:tcW w:w="1035"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t>合计</w:t>
            </w:r>
          </w:p>
        </w:tc>
        <w:tc>
          <w:tcPr>
            <w:tcW w:w="6638" w:type="dxa"/>
            <w:vAlign w:val="center"/>
          </w:tcPr>
          <w:p>
            <w:pPr>
              <w:keepNext w:val="0"/>
              <w:keepLines w:val="0"/>
              <w:pageBreakBefore w:val="0"/>
              <w:kinsoku/>
              <w:wordWrap/>
              <w:overflowPunct/>
              <w:topLinePunct w:val="0"/>
              <w:autoSpaceDE/>
              <w:autoSpaceDN/>
              <w:bidi w:val="0"/>
              <w:spacing w:after="0" w:line="400" w:lineRule="exact"/>
              <w:ind w:right="0" w:rightChars="0"/>
              <w:textAlignment w:val="auto"/>
              <w:outlineLvl w:val="9"/>
              <w:rPr>
                <w:rFonts w:hint="eastAsia" w:ascii="宋体" w:hAnsi="宋体" w:eastAsia="宋体" w:cs="宋体"/>
                <w:color w:val="FF0000"/>
                <w:sz w:val="24"/>
                <w:szCs w:val="24"/>
              </w:rPr>
            </w:pPr>
          </w:p>
        </w:tc>
        <w:tc>
          <w:tcPr>
            <w:tcW w:w="734" w:type="dxa"/>
            <w:vAlign w:val="center"/>
          </w:tcPr>
          <w:p>
            <w:pPr>
              <w:keepNext w:val="0"/>
              <w:keepLines w:val="0"/>
              <w:pageBreakBefore w:val="0"/>
              <w:kinsoku/>
              <w:wordWrap/>
              <w:overflowPunct/>
              <w:topLinePunct w:val="0"/>
              <w:autoSpaceDE/>
              <w:autoSpaceDN/>
              <w:bidi w:val="0"/>
              <w:spacing w:after="0" w:line="400" w:lineRule="exact"/>
              <w:ind w:right="0" w:rightChars="0"/>
              <w:jc w:val="center"/>
              <w:textAlignment w:val="auto"/>
              <w:outlineLvl w:val="9"/>
              <w:rPr>
                <w:rFonts w:hint="eastAsia" w:ascii="宋体" w:hAnsi="宋体" w:eastAsia="宋体" w:cs="宋体"/>
                <w:color w:val="FF0000"/>
                <w:sz w:val="24"/>
                <w:szCs w:val="24"/>
              </w:rPr>
            </w:pPr>
            <w:r>
              <w:rPr>
                <w:rFonts w:hint="eastAsia" w:ascii="宋体" w:hAnsi="宋体" w:eastAsia="宋体" w:cs="宋体"/>
                <w:color w:val="FF0000"/>
                <w:sz w:val="24"/>
                <w:szCs w:val="24"/>
              </w:rPr>
              <w:fldChar w:fldCharType="begin"/>
            </w:r>
            <w:r>
              <w:rPr>
                <w:rFonts w:hint="eastAsia" w:ascii="宋体" w:hAnsi="宋体" w:eastAsia="宋体" w:cs="宋体"/>
                <w:color w:val="FF0000"/>
                <w:sz w:val="24"/>
                <w:szCs w:val="24"/>
              </w:rPr>
              <w:instrText xml:space="preserve"> =SUM(ABOVE) \* MERGEFORMAT </w:instrText>
            </w:r>
            <w:r>
              <w:rPr>
                <w:rFonts w:hint="eastAsia" w:ascii="宋体" w:hAnsi="宋体" w:eastAsia="宋体" w:cs="宋体"/>
                <w:color w:val="FF0000"/>
                <w:sz w:val="24"/>
                <w:szCs w:val="24"/>
              </w:rPr>
              <w:fldChar w:fldCharType="separate"/>
            </w:r>
            <w:r>
              <w:rPr>
                <w:rFonts w:hint="eastAsia" w:ascii="宋体" w:hAnsi="宋体" w:eastAsia="宋体" w:cs="宋体"/>
                <w:color w:val="FF0000"/>
                <w:sz w:val="24"/>
                <w:szCs w:val="24"/>
              </w:rPr>
              <w:t>90</w:t>
            </w:r>
            <w:r>
              <w:rPr>
                <w:rFonts w:hint="eastAsia" w:ascii="宋体" w:hAnsi="宋体" w:eastAsia="宋体" w:cs="宋体"/>
                <w:color w:val="FF0000"/>
                <w:sz w:val="24"/>
                <w:szCs w:val="24"/>
              </w:rPr>
              <w:fldChar w:fldCharType="end"/>
            </w:r>
          </w:p>
        </w:tc>
      </w:tr>
    </w:tbl>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2"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2.价格分</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bookmarkStart w:id="2" w:name="_Toc276459699"/>
      <w:r>
        <w:rPr>
          <w:rFonts w:hint="eastAsia" w:ascii="宋体" w:hAnsi="宋体" w:eastAsia="宋体" w:cs="宋体"/>
          <w:color w:val="auto"/>
          <w:sz w:val="24"/>
          <w:szCs w:val="24"/>
          <w:highlight w:val="none"/>
        </w:rPr>
        <w:t>1）拆启各投标人的报价。分析总报价及各个分项报价是否合理，报价范围是否完整，有否重大错漏。</w:t>
      </w:r>
      <w:r>
        <w:rPr>
          <w:rFonts w:hint="eastAsia" w:ascii="宋体" w:hAnsi="宋体" w:eastAsia="宋体" w:cs="宋体"/>
          <w:color w:val="auto"/>
          <w:sz w:val="24"/>
          <w:szCs w:val="24"/>
          <w:highlight w:val="none"/>
          <w:lang w:val="zh-CN"/>
        </w:rPr>
        <w:t>报价</w:t>
      </w:r>
      <w:r>
        <w:rPr>
          <w:rFonts w:hint="eastAsia" w:ascii="宋体" w:hAnsi="宋体" w:eastAsia="宋体" w:cs="宋体"/>
          <w:color w:val="auto"/>
          <w:sz w:val="24"/>
          <w:szCs w:val="24"/>
          <w:highlight w:val="none"/>
        </w:rPr>
        <w:t>算术错误将按以下方法更正：报价文件中开标一览表内容与报价文件中详细报价清单内容不一致的，以开标一览表为准；报价文件的大写金额与小写金额不一致的，以大写金额为准；总价金额与按单价汇总金额不一致的，以单价金额计算结果为准，但单价金额计算结果汇总大于总价金额的，以总价金额为准；单价金额小数点明显错位的，以总价为准，并修改单价；如果投标人不接受对其错误的更正，其投标响应将被拒绝。</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2）评定评标基准价：</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所有有效报价的最高下浮率（最低价）作为评标基准价。</w:t>
      </w:r>
    </w:p>
    <w:p>
      <w:pPr>
        <w:keepNext w:val="0"/>
        <w:keepLines w:val="0"/>
        <w:pageBreakBefore w:val="0"/>
        <w:widowControl/>
        <w:kinsoku/>
        <w:wordWrap/>
        <w:overflowPunct/>
        <w:topLinePunct w:val="0"/>
        <w:autoSpaceDE/>
        <w:autoSpaceDN/>
        <w:bidi w:val="0"/>
        <w:adjustRightInd w:val="0"/>
        <w:snapToGrid w:val="0"/>
        <w:spacing w:after="0" w:line="400" w:lineRule="exact"/>
        <w:ind w:left="297" w:leftChars="135"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报价得分=[（1-评标基准价）/（1-投标报价）]×10分×100</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63" w:firstLineChars="192"/>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3.确定预中标候选人</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根据投标人综合得分（资信技术分+报价分）从高到低排列,排名前</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位的为预中标候选人。综合得分相同时，以报价低者优先。均相同时由采购人抽签确定。</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2"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三、计算综合总分（满分为100分）：</w:t>
      </w:r>
      <w:r>
        <w:rPr>
          <w:rFonts w:hint="eastAsia" w:ascii="宋体" w:hAnsi="宋体" w:eastAsia="宋体" w:cs="宋体"/>
          <w:color w:val="auto"/>
          <w:sz w:val="24"/>
          <w:szCs w:val="24"/>
          <w:highlight w:val="none"/>
        </w:rPr>
        <w:t>综合总分=技术得分+报价得分</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2" w:firstLineChars="200"/>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四、定标：</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1.预中标供应商确定后，预中标结果当天公示。</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2.公示期满无异议的，采购代理单位向中标供应商发中标通知书，中标通知书对采购人和中标供应商具有同等法律效力。</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3.中标通知书发出后，采购人改变招标结果或者中标供应商放弃中标，均应当承担相应的法律责任。</w:t>
      </w:r>
    </w:p>
    <w:p>
      <w:pPr>
        <w:keepNext w:val="0"/>
        <w:keepLines w:val="0"/>
        <w:pageBreakBefore w:val="0"/>
        <w:widowControl/>
        <w:kinsoku/>
        <w:wordWrap/>
        <w:overflowPunct/>
        <w:topLinePunct w:val="0"/>
        <w:autoSpaceDE/>
        <w:autoSpaceDN/>
        <w:bidi w:val="0"/>
        <w:adjustRightInd w:val="0"/>
        <w:snapToGrid w:val="0"/>
        <w:spacing w:after="0" w:line="40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4.综合得分排名前两位的候选供应商因自身原因放弃中标成交的，采购人可以选择是否由排名第三的候选供应商为中标成交供应商。</w:t>
      </w:r>
    </w:p>
    <w:bookmarkEnd w:id="2"/>
    <w:p>
      <w:pPr>
        <w:keepNext w:val="0"/>
        <w:keepLines w:val="0"/>
        <w:pageBreakBefore w:val="0"/>
        <w:kinsoku/>
        <w:wordWrap/>
        <w:overflowPunct/>
        <w:topLinePunct w:val="0"/>
        <w:autoSpaceDE/>
        <w:autoSpaceDN/>
        <w:bidi w:val="0"/>
        <w:spacing w:after="0" w:line="400" w:lineRule="exact"/>
        <w:ind w:right="0" w:rightChars="0"/>
        <w:textAlignment w:val="auto"/>
        <w:rPr>
          <w:rFonts w:hint="eastAsia" w:ascii="宋体" w:hAnsi="宋体" w:eastAsia="宋体" w:cs="宋体"/>
          <w:b/>
          <w:color w:val="auto"/>
          <w:sz w:val="24"/>
          <w:szCs w:val="24"/>
          <w:highlight w:val="none"/>
        </w:rPr>
      </w:pPr>
    </w:p>
    <w:p>
      <w:pPr>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第五章 招标代理合同 (范本)</w:t>
      </w:r>
    </w:p>
    <w:p>
      <w:pPr>
        <w:jc w:val="center"/>
        <w:rPr>
          <w:rFonts w:hint="eastAsia" w:ascii="宋体" w:hAnsi="宋体" w:eastAsia="宋体" w:cs="宋体"/>
          <w:b/>
          <w:color w:val="auto"/>
          <w:sz w:val="28"/>
          <w:szCs w:val="24"/>
          <w:highlight w:val="none"/>
        </w:rPr>
      </w:pPr>
      <w:r>
        <w:rPr>
          <w:rFonts w:hint="eastAsia" w:ascii="宋体" w:hAnsi="宋体" w:eastAsia="宋体" w:cs="宋体"/>
          <w:b/>
          <w:color w:val="auto"/>
          <w:sz w:val="28"/>
          <w:szCs w:val="24"/>
          <w:highlight w:val="none"/>
        </w:rPr>
        <w:t>招标代理协议书</w:t>
      </w:r>
    </w:p>
    <w:p>
      <w:pPr>
        <w:keepNext w:val="0"/>
        <w:keepLines w:val="0"/>
        <w:pageBreakBefore w:val="0"/>
        <w:kinsoku/>
        <w:wordWrap/>
        <w:overflowPunct/>
        <w:topLinePunct w:val="0"/>
        <w:bidi w:val="0"/>
        <w:spacing w:after="0" w:line="500" w:lineRule="exact"/>
        <w:ind w:left="0" w:leftChars="0" w:hanging="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委托方（甲方）：</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after="0" w:line="500" w:lineRule="exact"/>
        <w:ind w:left="0" w:leftChars="0" w:hanging="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代理方（乙方）：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after="0" w:line="500" w:lineRule="exact"/>
        <w:ind w:left="0" w:leftChars="0" w:hanging="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（乙方）为甲方指定的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类招标代理机构。现甲乙双方就采购项目招标代理服务事宜，达成如下协议： </w:t>
      </w:r>
    </w:p>
    <w:p>
      <w:pPr>
        <w:keepNext w:val="0"/>
        <w:keepLines w:val="0"/>
        <w:pageBreakBefore w:val="0"/>
        <w:kinsoku/>
        <w:wordWrap/>
        <w:overflowPunct/>
        <w:topLinePunct w:val="0"/>
        <w:bidi w:val="0"/>
        <w:spacing w:after="0" w:line="500" w:lineRule="exact"/>
        <w:ind w:left="0" w:leftChars="0" w:firstLine="458" w:firstLineChars="19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一、代理服务范围：</w:t>
      </w:r>
    </w:p>
    <w:p>
      <w:pPr>
        <w:keepNext w:val="0"/>
        <w:keepLines w:val="0"/>
        <w:pageBreakBefore w:val="0"/>
        <w:kinsoku/>
        <w:wordWrap/>
        <w:overflowPunct/>
        <w:topLinePunct w:val="0"/>
        <w:bidi w:val="0"/>
        <w:spacing w:after="0" w:line="500" w:lineRule="exact"/>
        <w:ind w:left="0" w:leftChars="0" w:firstLine="580" w:firstLineChars="2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招标代理业务及相关的咨询服务，包括公开招标、邀请招标、竞争性谈判、询价、单一来源采购等采购方式。</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二、代理服务期限：</w:t>
      </w:r>
      <w:r>
        <w:rPr>
          <w:rFonts w:hint="eastAsia" w:ascii="宋体" w:hAnsi="宋体" w:eastAsia="宋体" w:cs="宋体"/>
          <w:color w:val="auto"/>
          <w:sz w:val="24"/>
          <w:szCs w:val="24"/>
          <w:highlight w:val="none"/>
        </w:rPr>
        <w:t>合同签订之日起</w:t>
      </w:r>
      <w:r>
        <w:rPr>
          <w:rFonts w:hint="eastAsia" w:ascii="宋体" w:hAnsi="宋体" w:eastAsia="宋体" w:cs="宋体"/>
          <w:color w:val="auto"/>
          <w:sz w:val="24"/>
          <w:szCs w:val="24"/>
          <w:highlight w:val="none"/>
          <w:u w:val="single"/>
        </w:rPr>
        <w:t xml:space="preserve">  3  </w:t>
      </w:r>
      <w:r>
        <w:rPr>
          <w:rFonts w:hint="eastAsia" w:ascii="宋体" w:hAnsi="宋体" w:eastAsia="宋体" w:cs="宋体"/>
          <w:color w:val="auto"/>
          <w:sz w:val="24"/>
          <w:szCs w:val="24"/>
          <w:highlight w:val="none"/>
        </w:rPr>
        <w:t>年。</w:t>
      </w:r>
    </w:p>
    <w:p>
      <w:pPr>
        <w:keepNext w:val="0"/>
        <w:keepLines w:val="0"/>
        <w:pageBreakBefore w:val="0"/>
        <w:kinsoku/>
        <w:wordWrap/>
        <w:overflowPunct/>
        <w:topLinePunct w:val="0"/>
        <w:bidi w:val="0"/>
        <w:spacing w:after="0" w:line="500" w:lineRule="exact"/>
        <w:ind w:left="0" w:leftChars="0" w:firstLine="482" w:firstLineChars="200"/>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三、合同</w:t>
      </w:r>
      <w:r>
        <w:rPr>
          <w:rFonts w:hint="eastAsia" w:ascii="宋体" w:hAnsi="宋体" w:eastAsia="宋体" w:cs="宋体"/>
          <w:b/>
          <w:color w:val="auto"/>
          <w:sz w:val="24"/>
          <w:szCs w:val="24"/>
          <w:highlight w:val="none"/>
        </w:rPr>
        <w:t xml:space="preserve">签订时间：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四、代理服务费用：</w:t>
      </w:r>
    </w:p>
    <w:p>
      <w:pPr>
        <w:keepNext w:val="0"/>
        <w:keepLines w:val="0"/>
        <w:pageBreakBefore w:val="0"/>
        <w:kinsoku/>
        <w:wordWrap/>
        <w:overflowPunct/>
        <w:topLinePunct w:val="0"/>
        <w:autoSpaceDE w:val="0"/>
        <w:autoSpaceDN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1、乙方可以根据《招标代理服务收费管理暂行办法的通知》(计价格（2002）1980号)文件规定收费标准下浮</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rPr>
        <w:t xml:space="preserve"> ，向各采购项目的中标人收取中标服务费，招标人不再支付。</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2、服务费的计费基数为实际中标总金额。对于无法预先明确合同金额或选定入围供应商的采购项目，则按照甲方的年度预算金额或该项目的上一年度的实际支付金额作为服务费计费基数。</w:t>
      </w:r>
    </w:p>
    <w:p>
      <w:pPr>
        <w:keepNext w:val="0"/>
        <w:keepLines w:val="0"/>
        <w:pageBreakBefore w:val="0"/>
        <w:kinsoku/>
        <w:wordWrap/>
        <w:overflowPunct/>
        <w:topLinePunct w:val="0"/>
        <w:autoSpaceDE w:val="0"/>
        <w:autoSpaceDN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3、单个项目的中标金额作为计费基数，遇有多个标段的项目，则按照各标段中标金额作为计费基数。</w:t>
      </w:r>
    </w:p>
    <w:p>
      <w:pPr>
        <w:keepNext w:val="0"/>
        <w:keepLines w:val="0"/>
        <w:pageBreakBefore w:val="0"/>
        <w:kinsoku/>
        <w:wordWrap/>
        <w:overflowPunct/>
        <w:topLinePunct w:val="0"/>
        <w:bidi w:val="0"/>
        <w:spacing w:after="0" w:line="500" w:lineRule="exact"/>
        <w:ind w:left="0" w:leftChars="0" w:firstLine="463" w:firstLineChars="19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五、甲方的权利和义务：</w:t>
      </w:r>
    </w:p>
    <w:p>
      <w:pPr>
        <w:keepNext w:val="0"/>
        <w:keepLines w:val="0"/>
        <w:pageBreakBefore w:val="0"/>
        <w:tabs>
          <w:tab w:val="left" w:pos="540"/>
        </w:tabs>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1、当发生委托招标事项时，甲方将以《工作任务单》的形式进行委托。</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2、甲方有权了解招投标活动的计划安排，并可要求乙方提供招标阶段（保密事项除外）和全过程的书面报告。</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3、甲方有权要求乙方更换招标代理过程中不称职或应回避的人员。</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4、按照委托招标项目对进度的要求，向乙方提出具体招标采购任务。</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5、甲方指派项目负责人或技术人员参与招标活动，并指定专人负责与乙方保持联系。</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6、甲方向乙方提供与委托项目有关的技术、服务需求及商务条款等资料，并对该委托项目和所提供资料的真实性和合法性负责。</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7、甲方可与乙方共同编制招标文件、答疑文件等有关资料；或审核乙方编制的招标文件、答疑文件等有关资料。</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8、甲方按规定指派人员代表业主方担任评标委员会成员，参与评标工作。</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9、遇有招标项目性质特殊专业性较强，且专家库中相应专业的专家数量不足的，甲方可以按照“选定一推荐三” 的比例向乙方推荐评审专家。</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10、审定评标结果，并与中标人签订并履行中标合同。</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11、甲方应协助乙方对投标人提出的质疑进行答复，甲方应配合监管部门处理投标人提出的投诉。</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12、保证不向与招标活动无关的第三方泄漏乙方或投标人的商业秘密。</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、乙方的权利和义务</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1、乙方严格依照《中华人民共和国政府采购法》等法律法规的规定组织采购（招标）活动。</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2、乙方根据甲方提供的有关技术、服务需求及商务条款等资料在规定期限完成编写招标文件，并提交甲方审核确认后定稿。</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3、乙方根据招标文件拟定招标公告，待甲方审定后发布在指定网站。</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4、乙方负责印制招标文件（其中技术图纸部分的印刷由甲方予以协助），负责发售招标文件，澄清投标人提出的关于招标文件的问题。</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5、必要时乙方协助甲方组织投标人参加踏勘项目现场或组织标前准备会。</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6、乙方与甲方共同解答投标人提出的问题，负责将答疑文件送到至各投标人。</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7、乙方负责接收投标人的投标文件等投标资料。</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8、乙方根据国家法律、法规的规定举行开标会。</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9、乙方负责主持开标、唱标、评标。</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10、乙方协助评标委员会撰写评标报告，并负责收集整理开标及评标资料。</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11、乙方负责发布中标结果公示、并向中标人核发中标通知书。</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12、乙方协助甲方与中标人签订合同。</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13、乙方应针对项目招标（采购）情况编制书面报告并提交给甲方。</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14、遇有投标人质疑时，应由乙方负责答复。乙方应将质疑及答复内容书面报送至甲方和监管部门。乙方应无条件配合甲方及监管部门处理投标人的投诉。</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15、乙方应根据《浙江省政府采购档案管理办法》的要求将项目的整套招投标文件资料整理归档，并将资料汇编及中标人的资料移交甲方。</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16、乙方对其盖章和签字的所有书面文件的合法性和准确性负责。</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17、乙方保证不向与招标活动无关的第三方泄漏甲方及投标人的商业、技术秘密。</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18、乙方保证不接受同一个项目的招标代理和投标咨询业务；未经甲方同意，不得转让招标代理业务。</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19、乙方保证不隐瞒或者歪曲招投标真实情况，不泄露应当保密的与招标投标活动相关的情况和资料。</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20、乙方保证不与投标人串通，发生损害甲方利益的行为。</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21、乙方应承担因其过失而对甲方造成的经济损失。</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、其它约定事项：</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1、乙方可在招标文件中明确招标代理服务费的支付方式及计费标准。</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2、乙方承担招标文件制作费、评标专家费、信息及场租费，以及开标评标过程中的其他费用。乙方不得以评标专家费、咨询费、评委费等名义向甲方工作人员或甲方指派的其他人员支付费用。</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3、如招标活动失败，乙方承诺不收取代理服务费，并有义务再次组织招标，再次招标成功的按一次招标收取代理服务费，如甲方撤回招标任务的，乙方不再收取代理服务费。</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4、对甲方自行组织的采购活动，乙方有义务向甲方提供必要的咨询服务或帮助。</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、名录库管理：</w:t>
      </w:r>
    </w:p>
    <w:p>
      <w:pPr>
        <w:pStyle w:val="3"/>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乙方进入甲方招标代理机构名录库后，应按照本协议约定履行义务。有下列情形之一的，甲方可立即单方面终止协议：</w:t>
      </w:r>
    </w:p>
    <w:p>
      <w:pPr>
        <w:pStyle w:val="3"/>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（一）乙方单位被追究刑事责任的；</w:t>
      </w:r>
    </w:p>
    <w:p>
      <w:pPr>
        <w:pStyle w:val="3"/>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（二）法定代表人或在《投标文件》中确定的项目负责人因招标代理违法被追究刑事责任的；</w:t>
      </w:r>
    </w:p>
    <w:p>
      <w:pPr>
        <w:pStyle w:val="3"/>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（三）因严重违法违规，乙方被有关部门禁止或限制承接招标代理业务的；</w:t>
      </w:r>
    </w:p>
    <w:p>
      <w:pPr>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（四）经有关部门核实认定，乙方在申请进入名录库的资料中弄虚作假的；</w:t>
      </w:r>
    </w:p>
    <w:p>
      <w:pPr>
        <w:keepNext w:val="0"/>
        <w:keepLines w:val="0"/>
        <w:pageBreakBefore w:val="0"/>
        <w:kinsoku/>
        <w:wordWrap/>
        <w:overflowPunct/>
        <w:topLinePunct w:val="0"/>
        <w:bidi w:val="0"/>
        <w:spacing w:after="0" w:line="500" w:lineRule="exact"/>
        <w:ind w:left="0" w:leftChars="0" w:firstLine="5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（五）按照</w:t>
      </w:r>
      <w:r>
        <w:rPr>
          <w:rFonts w:hint="eastAsia" w:ascii="宋体" w:hAnsi="宋体" w:eastAsia="宋体" w:cs="宋体"/>
          <w:color w:val="auto"/>
          <w:sz w:val="24"/>
          <w:szCs w:val="24"/>
          <w:highlight w:val="none"/>
          <w:lang w:eastAsia="zh-CN"/>
        </w:rPr>
        <w:t>金华市医疗保障中心</w:t>
      </w:r>
      <w:r>
        <w:rPr>
          <w:rFonts w:hint="eastAsia" w:ascii="宋体" w:hAnsi="宋体" w:eastAsia="宋体" w:cs="宋体"/>
          <w:color w:val="auto"/>
          <w:sz w:val="24"/>
          <w:szCs w:val="24"/>
          <w:highlight w:val="none"/>
        </w:rPr>
        <w:t>管理相关文件规定，经评价结果乙方为不合格单位并被调整出入库名录的。</w:t>
      </w:r>
    </w:p>
    <w:p>
      <w:pPr>
        <w:keepNext w:val="0"/>
        <w:keepLines w:val="0"/>
        <w:pageBreakBefore w:val="0"/>
        <w:kinsoku/>
        <w:wordWrap/>
        <w:overflowPunct/>
        <w:topLinePunct w:val="0"/>
        <w:bidi w:val="0"/>
        <w:spacing w:after="0" w:line="500" w:lineRule="exact"/>
        <w:ind w:left="0" w:leftChars="0" w:firstLine="7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有下列情形之一的，甲方有权终止协议：</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（一）无法按合同要求完成招标代理业务的；</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（二）违反第五部分乙方权利义务中17-21条限制性条款要求的；</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（三）乙方拒绝承担甲方交办的招标代理业务且无正当理由的。</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、违约责任条款</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根据《考核办法》（另行明确）对乙方进行考核，乙方应当无条件接受甲方的考核。考核过程中出现乙方违约责任的，乙方应当按照《考核办法》支付相应的违约金。违约金将在履约保证金中扣除，履约保证金不足以支付违约金时，中标人应及时补足。</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（二）由于一方违约造成的损失，由违约方承担，另一方要求违约方继续履行协议时，违约方承担上述违约责任后，仍应继续履行协议。</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（三）由于违约方造成第三方损失的，由违约方负责赔偿。</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十、协议书变更：</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如需对本协议书进行修改或补充（变更），需经双方协商一致后签署补充协议，该补充协议作为本协议书不可分割的一部分。</w:t>
      </w:r>
    </w:p>
    <w:p>
      <w:pPr>
        <w:keepNext w:val="0"/>
        <w:keepLines w:val="0"/>
        <w:pageBreakBefore w:val="0"/>
        <w:kinsoku/>
        <w:wordWrap/>
        <w:overflowPunct/>
        <w:topLinePunct w:val="0"/>
        <w:bidi w:val="0"/>
        <w:spacing w:after="0" w:line="500" w:lineRule="exact"/>
        <w:ind w:left="0" w:leftChars="0" w:firstLine="54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、争议及解决：</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如甲乙双方在履行本协议书时发生争议，可以双方协商解决。当事人不愿协商、调解或者协商、调解不成的，可以向金华仲裁委员会提出仲裁。</w:t>
      </w:r>
    </w:p>
    <w:p>
      <w:pPr>
        <w:keepNext w:val="0"/>
        <w:keepLines w:val="0"/>
        <w:pageBreakBefore w:val="0"/>
        <w:kinsoku/>
        <w:wordWrap/>
        <w:overflowPunct/>
        <w:topLinePunct w:val="0"/>
        <w:bidi w:val="0"/>
        <w:spacing w:after="0" w:line="500" w:lineRule="exact"/>
        <w:ind w:left="0" w:leftChars="0" w:firstLine="463" w:firstLineChars="192"/>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、协议书生效：</w:t>
      </w:r>
    </w:p>
    <w:p>
      <w:pPr>
        <w:keepNext w:val="0"/>
        <w:keepLines w:val="0"/>
        <w:pageBreakBefore w:val="0"/>
        <w:kinsoku/>
        <w:wordWrap/>
        <w:overflowPunct/>
        <w:topLinePunct w:val="0"/>
        <w:bidi w:val="0"/>
        <w:spacing w:after="0" w:line="500" w:lineRule="exact"/>
        <w:ind w:left="0" w:leftChars="0" w:firstLine="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本协议一式 </w:t>
      </w:r>
      <w:r>
        <w:rPr>
          <w:rFonts w:hint="eastAsia" w:ascii="宋体" w:hAnsi="宋体" w:eastAsia="宋体" w:cs="宋体"/>
          <w:color w:val="auto"/>
          <w:sz w:val="24"/>
          <w:szCs w:val="24"/>
          <w:highlight w:val="none"/>
          <w:u w:val="single"/>
        </w:rPr>
        <w:t xml:space="preserve"> 4 </w:t>
      </w:r>
      <w:r>
        <w:rPr>
          <w:rFonts w:hint="eastAsia" w:ascii="宋体" w:hAnsi="宋体" w:eastAsia="宋体" w:cs="宋体"/>
          <w:color w:val="auto"/>
          <w:sz w:val="24"/>
          <w:szCs w:val="24"/>
          <w:highlight w:val="none"/>
        </w:rPr>
        <w:t>份，其中甲方</w:t>
      </w:r>
      <w:r>
        <w:rPr>
          <w:rFonts w:hint="eastAsia" w:ascii="宋体" w:hAnsi="宋体" w:eastAsia="宋体" w:cs="宋体"/>
          <w:color w:val="auto"/>
          <w:sz w:val="24"/>
          <w:szCs w:val="24"/>
          <w:highlight w:val="none"/>
          <w:u w:val="single"/>
        </w:rPr>
        <w:t xml:space="preserve"> 2 </w:t>
      </w:r>
      <w:r>
        <w:rPr>
          <w:rFonts w:hint="eastAsia" w:ascii="宋体" w:hAnsi="宋体" w:eastAsia="宋体" w:cs="宋体"/>
          <w:color w:val="auto"/>
          <w:sz w:val="24"/>
          <w:szCs w:val="24"/>
          <w:highlight w:val="none"/>
        </w:rPr>
        <w:t>份，乙方</w:t>
      </w:r>
      <w:r>
        <w:rPr>
          <w:rFonts w:hint="eastAsia" w:ascii="宋体" w:hAnsi="宋体" w:eastAsia="宋体" w:cs="宋体"/>
          <w:color w:val="auto"/>
          <w:sz w:val="24"/>
          <w:szCs w:val="24"/>
          <w:highlight w:val="none"/>
          <w:u w:val="single"/>
        </w:rPr>
        <w:t xml:space="preserve"> 2 </w:t>
      </w:r>
      <w:r>
        <w:rPr>
          <w:rFonts w:hint="eastAsia" w:ascii="宋体" w:hAnsi="宋体" w:eastAsia="宋体" w:cs="宋体"/>
          <w:color w:val="auto"/>
          <w:sz w:val="24"/>
          <w:szCs w:val="24"/>
          <w:highlight w:val="none"/>
        </w:rPr>
        <w:t>份。本协议书由甲乙双方法定代表人或授权代表签字并加盖单位公章后生效。</w:t>
      </w:r>
    </w:p>
    <w:tbl>
      <w:tblPr>
        <w:tblStyle w:val="18"/>
        <w:tblW w:w="9000" w:type="dxa"/>
        <w:tblInd w:w="-72" w:type="dxa"/>
        <w:tblLayout w:type="fixed"/>
        <w:tblCellMar>
          <w:top w:w="0" w:type="dxa"/>
          <w:left w:w="108" w:type="dxa"/>
          <w:bottom w:w="0" w:type="dxa"/>
          <w:right w:w="108" w:type="dxa"/>
        </w:tblCellMar>
      </w:tblPr>
      <w:tblGrid>
        <w:gridCol w:w="4500"/>
        <w:gridCol w:w="4500"/>
      </w:tblGrid>
      <w:tr>
        <w:tblPrEx>
          <w:tblCellMar>
            <w:top w:w="0" w:type="dxa"/>
            <w:left w:w="108" w:type="dxa"/>
            <w:bottom w:w="0" w:type="dxa"/>
            <w:right w:w="108" w:type="dxa"/>
          </w:tblCellMar>
        </w:tblPrEx>
        <w:tc>
          <w:tcPr>
            <w:tcW w:w="4500" w:type="dxa"/>
            <w:tcBorders>
              <w:top w:val="nil"/>
              <w:left w:val="nil"/>
              <w:bottom w:val="nil"/>
              <w:right w:val="nil"/>
            </w:tcBorders>
          </w:tcPr>
          <w:p>
            <w:pPr>
              <w:keepNext w:val="0"/>
              <w:keepLines w:val="0"/>
              <w:pageBreakBefore w:val="0"/>
              <w:kinsoku/>
              <w:wordWrap/>
              <w:overflowPunct/>
              <w:topLinePunct w:val="0"/>
              <w:bidi w:val="0"/>
              <w:spacing w:after="0" w:line="500" w:lineRule="exact"/>
              <w:ind w:left="1920" w:leftChars="0" w:hanging="1920" w:hangingChars="8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after="0" w:line="500" w:lineRule="exact"/>
              <w:ind w:left="1920" w:leftChars="0" w:hanging="1920" w:hangingChars="8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after="0" w:line="500" w:lineRule="exact"/>
              <w:ind w:left="1920" w:leftChars="0" w:hanging="1920" w:hangingChars="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委托人（盖章）： </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或</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p>
        </w:tc>
        <w:tc>
          <w:tcPr>
            <w:tcW w:w="4500" w:type="dxa"/>
            <w:tcBorders>
              <w:top w:val="nil"/>
              <w:left w:val="nil"/>
              <w:bottom w:val="nil"/>
              <w:right w:val="nil"/>
            </w:tcBorders>
          </w:tcPr>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受托人（盖章）： </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或</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kinsoku/>
              <w:wordWrap/>
              <w:overflowPunct/>
              <w:topLinePunct w:val="0"/>
              <w:bidi w:val="0"/>
              <w:spacing w:after="0" w:line="50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　　真： </w:t>
            </w:r>
          </w:p>
        </w:tc>
      </w:tr>
    </w:tbl>
    <w:p>
      <w:pPr>
        <w:pStyle w:val="17"/>
        <w:keepNext w:val="0"/>
        <w:keepLines w:val="0"/>
        <w:pageBreakBefore w:val="0"/>
        <w:kinsoku/>
        <w:wordWrap/>
        <w:overflowPunct/>
        <w:topLinePunct w:val="0"/>
        <w:bidi w:val="0"/>
        <w:snapToGrid w:val="0"/>
        <w:spacing w:before="0" w:after="0" w:line="500" w:lineRule="exact"/>
        <w:ind w:left="0" w:leftChars="0" w:firstLine="0"/>
        <w:jc w:val="center"/>
        <w:textAlignment w:val="auto"/>
        <w:rPr>
          <w:rFonts w:hint="eastAsia" w:ascii="宋体" w:hAnsi="宋体" w:eastAsia="宋体" w:cs="宋体"/>
          <w:b/>
          <w:bCs/>
          <w:color w:val="auto"/>
          <w:sz w:val="36"/>
          <w:szCs w:val="36"/>
          <w:highlight w:val="none"/>
        </w:rPr>
      </w:pPr>
    </w:p>
    <w:p>
      <w:pPr>
        <w:pStyle w:val="4"/>
        <w:keepNext w:val="0"/>
        <w:keepLines w:val="0"/>
        <w:spacing w:line="240" w:lineRule="auto"/>
        <w:jc w:val="both"/>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p>
    <w:p>
      <w:pPr>
        <w:pStyle w:val="4"/>
        <w:keepNext w:val="0"/>
        <w:keepLines w:val="0"/>
        <w:spacing w:line="240" w:lineRule="auto"/>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4"/>
        <w:keepNext w:val="0"/>
        <w:keepLines w:val="0"/>
        <w:spacing w:line="240" w:lineRule="auto"/>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w:t>
      </w:r>
      <w:r>
        <w:rPr>
          <w:rFonts w:hint="eastAsia" w:ascii="宋体" w:hAnsi="宋体" w:eastAsia="宋体" w:cs="宋体"/>
          <w:color w:val="auto"/>
          <w:sz w:val="36"/>
          <w:szCs w:val="36"/>
          <w:highlight w:val="none"/>
          <w:lang w:val="en-US" w:eastAsia="zh-CN"/>
        </w:rPr>
        <w:t>六</w:t>
      </w:r>
      <w:r>
        <w:rPr>
          <w:rFonts w:hint="eastAsia" w:ascii="宋体" w:hAnsi="宋体" w:eastAsia="宋体" w:cs="宋体"/>
          <w:color w:val="auto"/>
          <w:sz w:val="36"/>
          <w:szCs w:val="36"/>
          <w:highlight w:val="none"/>
        </w:rPr>
        <w:t>章 投标文件格式</w:t>
      </w:r>
    </w:p>
    <w:p>
      <w:pPr>
        <w:rPr>
          <w:rFonts w:hint="eastAsia" w:ascii="宋体" w:hAnsi="宋体" w:eastAsia="宋体" w:cs="宋体"/>
          <w:color w:val="auto"/>
          <w:highlight w:val="none"/>
        </w:rPr>
      </w:pPr>
    </w:p>
    <w:p>
      <w:pPr>
        <w:jc w:val="center"/>
        <w:rPr>
          <w:rFonts w:hint="eastAsia" w:ascii="宋体" w:hAnsi="宋体" w:eastAsia="宋体" w:cs="宋体"/>
          <w:color w:val="auto"/>
          <w:sz w:val="36"/>
          <w:szCs w:val="36"/>
          <w:highlight w:val="none"/>
          <w:shd w:val="clear" w:color="auto" w:fill="FFFFFF"/>
          <w:lang w:eastAsia="zh-CN"/>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shd w:val="clear" w:color="auto" w:fill="FFFFFF"/>
          <w:lang w:eastAsia="zh-CN"/>
        </w:rPr>
        <w:t>金华市医疗保障中心年度采购项目委托代理机构服务项目</w:t>
      </w:r>
    </w:p>
    <w:p>
      <w:pPr>
        <w:rPr>
          <w:rFonts w:hint="eastAsia" w:ascii="宋体" w:hAnsi="宋体" w:eastAsia="宋体" w:cs="宋体"/>
          <w:color w:val="auto"/>
          <w:sz w:val="72"/>
          <w:szCs w:val="72"/>
          <w:highlight w:val="none"/>
        </w:rPr>
      </w:pPr>
    </w:p>
    <w:p>
      <w:pPr>
        <w:ind w:firstLine="2880" w:firstLineChars="400"/>
        <w:outlineLvl w:val="1"/>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投 标 文 件</w:t>
      </w:r>
    </w:p>
    <w:p>
      <w:pPr>
        <w:ind w:firstLine="640" w:firstLineChars="200"/>
        <w:rPr>
          <w:rFonts w:hint="eastAsia" w:ascii="宋体" w:hAnsi="宋体" w:eastAsia="宋体" w:cs="宋体"/>
          <w:color w:val="auto"/>
          <w:highlight w:val="none"/>
        </w:rPr>
      </w:pPr>
      <w:r>
        <w:rPr>
          <w:rFonts w:hint="eastAsia" w:ascii="宋体" w:hAnsi="宋体" w:eastAsia="宋体" w:cs="宋体"/>
          <w:color w:val="auto"/>
          <w:sz w:val="32"/>
          <w:szCs w:val="32"/>
          <w:highlight w:val="none"/>
        </w:rPr>
        <w:t xml:space="preserve">                     （技术资信标） </w:t>
      </w:r>
    </w:p>
    <w:p>
      <w:pPr>
        <w:ind w:firstLine="440" w:firstLineChars="20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（盖公章）</w:t>
      </w:r>
    </w:p>
    <w:p>
      <w:pPr>
        <w:ind w:firstLine="560" w:firstLineChars="20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法定代表人或委托代理人：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（签字并盖章）</w:t>
      </w:r>
    </w:p>
    <w:p>
      <w:pPr>
        <w:jc w:val="center"/>
        <w:rPr>
          <w:rFonts w:hint="eastAsia" w:ascii="宋体" w:hAnsi="宋体" w:eastAsia="宋体" w:cs="宋体"/>
          <w:color w:val="auto"/>
          <w:highlight w:val="none"/>
          <w:u w:val="single"/>
        </w:rPr>
      </w:pPr>
    </w:p>
    <w:p>
      <w:pPr>
        <w:jc w:val="center"/>
        <w:rPr>
          <w:rFonts w:hint="eastAsia" w:ascii="宋体" w:hAnsi="宋体" w:eastAsia="宋体" w:cs="宋体"/>
          <w:color w:val="auto"/>
          <w:sz w:val="24"/>
          <w:szCs w:val="24"/>
          <w:highlight w:val="none"/>
        </w:rPr>
        <w:sectPr>
          <w:footerReference r:id="rId6" w:type="default"/>
          <w:pgSz w:w="11906" w:h="16838"/>
          <w:pgMar w:top="1418" w:right="1134" w:bottom="1418" w:left="1134" w:header="851" w:footer="992" w:gutter="0"/>
          <w:pgNumType w:fmt="decimal"/>
          <w:cols w:space="720" w:num="1"/>
          <w:docGrid w:type="lines" w:linePitch="312" w:charSpace="0"/>
        </w:sect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50" w:after="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（一）资信技术部部分：</w:t>
      </w:r>
    </w:p>
    <w:p>
      <w:pPr>
        <w:spacing w:before="50" w:after="50"/>
        <w:jc w:val="center"/>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 法人授权委托书</w:t>
      </w:r>
    </w:p>
    <w:p>
      <w:pPr>
        <w:spacing w:line="360" w:lineRule="auto"/>
        <w:ind w:firstLine="48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法定代表人------------------------授权------------------------------（全权代表姓名）为全权代表，参加贵公司组织的-------------------------------------------招标活动，全权处理招标活动中的一切事宜。</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法人代表签字：</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全权代表姓名：</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p>
    <w:p>
      <w:pPr>
        <w:spacing w:before="50" w:after="5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p>
      <w:pPr>
        <w:spacing w:before="50" w:after="5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法定代表人身份证复印件粘贴处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授权代表身份证复印件粘贴处</w:t>
      </w:r>
    </w:p>
    <w:p>
      <w:pPr>
        <w:ind w:firstLine="4680" w:firstLineChars="19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投标人全称（公章）：</w:t>
      </w:r>
    </w:p>
    <w:p>
      <w:pPr>
        <w:ind w:firstLine="4680" w:firstLineChars="19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spacing w:before="50" w:after="50"/>
        <w:ind w:firstLine="480" w:firstLineChars="200"/>
        <w:rPr>
          <w:rFonts w:hint="eastAsia" w:ascii="宋体" w:hAnsi="宋体" w:eastAsia="宋体" w:cs="宋体"/>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rPr>
          <w:rFonts w:hint="eastAsia" w:ascii="宋体" w:hAnsi="宋体" w:eastAsia="宋体" w:cs="宋体"/>
          <w:b/>
          <w:color w:val="auto"/>
          <w:sz w:val="24"/>
          <w:szCs w:val="24"/>
          <w:highlight w:val="none"/>
        </w:rPr>
      </w:pPr>
    </w:p>
    <w:p>
      <w:pPr>
        <w:spacing w:before="50" w:after="50"/>
        <w:jc w:val="center"/>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 投标人情况介绍</w:t>
      </w:r>
    </w:p>
    <w:tbl>
      <w:tblPr>
        <w:tblStyle w:val="18"/>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3205"/>
        <w:gridCol w:w="14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单位名称</w:t>
            </w:r>
          </w:p>
        </w:tc>
        <w:tc>
          <w:tcPr>
            <w:tcW w:w="320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c>
          <w:tcPr>
            <w:tcW w:w="1434"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电    话</w:t>
            </w:r>
          </w:p>
        </w:tc>
        <w:tc>
          <w:tcPr>
            <w:tcW w:w="269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地    址</w:t>
            </w:r>
          </w:p>
        </w:tc>
        <w:tc>
          <w:tcPr>
            <w:tcW w:w="320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c>
          <w:tcPr>
            <w:tcW w:w="1434"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传    真</w:t>
            </w:r>
          </w:p>
        </w:tc>
        <w:tc>
          <w:tcPr>
            <w:tcW w:w="269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主管部门</w:t>
            </w:r>
          </w:p>
        </w:tc>
        <w:tc>
          <w:tcPr>
            <w:tcW w:w="320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c>
          <w:tcPr>
            <w:tcW w:w="1434"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企业性质</w:t>
            </w:r>
          </w:p>
        </w:tc>
        <w:tc>
          <w:tcPr>
            <w:tcW w:w="269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320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c>
          <w:tcPr>
            <w:tcW w:w="1434"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注册资金</w:t>
            </w:r>
          </w:p>
        </w:tc>
        <w:tc>
          <w:tcPr>
            <w:tcW w:w="269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授权代表</w:t>
            </w:r>
          </w:p>
        </w:tc>
        <w:tc>
          <w:tcPr>
            <w:tcW w:w="320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c>
          <w:tcPr>
            <w:tcW w:w="1434"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2695" w:type="dxa"/>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9"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单</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位</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概</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况</w:t>
            </w:r>
          </w:p>
        </w:tc>
        <w:tc>
          <w:tcPr>
            <w:tcW w:w="7334" w:type="dxa"/>
            <w:gridSpan w:val="3"/>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2" w:hRule="atLeast"/>
          <w:jc w:val="center"/>
        </w:trPr>
        <w:tc>
          <w:tcPr>
            <w:tcW w:w="1813" w:type="dxa"/>
            <w:tcMar>
              <w:left w:w="142" w:type="dxa"/>
              <w:right w:w="142" w:type="dxa"/>
            </w:tcMar>
            <w:vAlign w:val="center"/>
          </w:tcPr>
          <w:p>
            <w:pPr>
              <w:pStyle w:val="12"/>
              <w:snapToGrid w:val="0"/>
              <w:spacing w:before="156" w:after="156"/>
              <w:jc w:val="center"/>
              <w:rPr>
                <w:rFonts w:hint="eastAsia" w:ascii="宋体" w:hAnsi="宋体" w:eastAsia="宋体" w:cs="宋体"/>
                <w:color w:val="auto"/>
                <w:highlight w:val="none"/>
              </w:rPr>
            </w:pP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优</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势</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及</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特</w:t>
            </w:r>
          </w:p>
          <w:p>
            <w:pPr>
              <w:pStyle w:val="12"/>
              <w:snapToGrid w:val="0"/>
              <w:spacing w:before="156" w:after="156"/>
              <w:jc w:val="center"/>
              <w:rPr>
                <w:rFonts w:hint="eastAsia" w:ascii="宋体" w:hAnsi="宋体" w:eastAsia="宋体" w:cs="宋体"/>
                <w:color w:val="auto"/>
                <w:highlight w:val="none"/>
              </w:rPr>
            </w:pPr>
            <w:r>
              <w:rPr>
                <w:rFonts w:hint="eastAsia" w:ascii="宋体" w:hAnsi="宋体" w:eastAsia="宋体" w:cs="宋体"/>
                <w:color w:val="auto"/>
                <w:highlight w:val="none"/>
              </w:rPr>
              <w:t>长</w:t>
            </w:r>
          </w:p>
        </w:tc>
        <w:tc>
          <w:tcPr>
            <w:tcW w:w="7334" w:type="dxa"/>
            <w:gridSpan w:val="3"/>
            <w:tcMar>
              <w:left w:w="142" w:type="dxa"/>
              <w:right w:w="142" w:type="dxa"/>
            </w:tcMar>
            <w:vAlign w:val="center"/>
          </w:tcPr>
          <w:p>
            <w:pPr>
              <w:pStyle w:val="12"/>
              <w:snapToGrid w:val="0"/>
              <w:spacing w:before="156" w:after="156"/>
              <w:rPr>
                <w:rFonts w:hint="eastAsia" w:ascii="宋体" w:hAnsi="宋体" w:eastAsia="宋体" w:cs="宋体"/>
                <w:color w:val="auto"/>
                <w:highlight w:val="none"/>
              </w:rPr>
            </w:pP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注：此表在不改变表式的情况下，可自行制作。</w:t>
      </w:r>
    </w:p>
    <w:p>
      <w:pPr>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投标人全称（加盖公章）：</w:t>
      </w:r>
    </w:p>
    <w:p>
      <w:pPr>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w:t>
      </w:r>
    </w:p>
    <w:p>
      <w:pPr>
        <w:ind w:firstLine="6120" w:firstLineChars="25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before="50" w:after="50"/>
        <w:rPr>
          <w:rFonts w:hint="eastAsia" w:ascii="宋体" w:hAnsi="宋体" w:eastAsia="宋体" w:cs="宋体"/>
          <w:b/>
          <w:bCs/>
          <w:color w:val="auto"/>
          <w:sz w:val="24"/>
          <w:szCs w:val="24"/>
          <w:highlight w:val="none"/>
        </w:rPr>
      </w:pPr>
    </w:p>
    <w:p>
      <w:pPr>
        <w:spacing w:before="50" w:after="50"/>
        <w:rPr>
          <w:rFonts w:hint="eastAsia" w:ascii="宋体" w:hAnsi="宋体" w:eastAsia="宋体" w:cs="宋体"/>
          <w:b/>
          <w:bCs/>
          <w:color w:val="auto"/>
          <w:sz w:val="24"/>
          <w:szCs w:val="24"/>
          <w:highlight w:val="none"/>
        </w:rPr>
      </w:pPr>
    </w:p>
    <w:p>
      <w:pPr>
        <w:spacing w:before="50" w:after="50"/>
        <w:rPr>
          <w:rFonts w:hint="eastAsia" w:ascii="宋体" w:hAnsi="宋体" w:eastAsia="宋体" w:cs="宋体"/>
          <w:b/>
          <w:bCs/>
          <w:color w:val="auto"/>
          <w:sz w:val="24"/>
          <w:szCs w:val="24"/>
          <w:highlight w:val="none"/>
        </w:rPr>
      </w:pPr>
    </w:p>
    <w:p>
      <w:pPr>
        <w:spacing w:before="50" w:after="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（二）价格标部分：</w:t>
      </w:r>
    </w:p>
    <w:p>
      <w:pPr>
        <w:spacing w:before="156" w:beforeLines="50" w:after="50"/>
        <w:jc w:val="center"/>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1.投 标 函</w:t>
      </w:r>
    </w:p>
    <w:p>
      <w:pPr>
        <w:spacing w:after="0" w:line="520" w:lineRule="exact"/>
        <w:jc w:val="center"/>
        <w:rPr>
          <w:rFonts w:hint="eastAsia" w:ascii="宋体" w:hAnsi="宋体" w:eastAsia="宋体" w:cs="宋体"/>
          <w:b/>
          <w:color w:val="auto"/>
          <w:sz w:val="24"/>
          <w:szCs w:val="24"/>
          <w:highlight w:val="none"/>
        </w:rPr>
      </w:pP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_          </w:t>
      </w:r>
      <w:r>
        <w:rPr>
          <w:rFonts w:hint="eastAsia" w:ascii="宋体" w:hAnsi="宋体" w:eastAsia="宋体" w:cs="宋体"/>
          <w:color w:val="auto"/>
          <w:sz w:val="24"/>
          <w:szCs w:val="24"/>
          <w:highlight w:val="none"/>
        </w:rPr>
        <w:t>：</w:t>
      </w:r>
    </w:p>
    <w:p>
      <w:pPr>
        <w:spacing w:after="0" w:line="5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项目的公开招标采购（项目编号：____</w:t>
      </w:r>
      <w:r>
        <w:rPr>
          <w:rFonts w:hint="eastAsia" w:ascii="宋体" w:hAnsi="宋体" w:eastAsia="宋体" w:cs="宋体"/>
          <w:color w:val="auto"/>
          <w:sz w:val="24"/>
          <w:szCs w:val="24"/>
          <w:highlight w:val="none"/>
          <w:u w:val="single"/>
        </w:rPr>
        <w:t>_     _</w:t>
      </w:r>
      <w:r>
        <w:rPr>
          <w:rFonts w:hint="eastAsia" w:ascii="宋体" w:hAnsi="宋体" w:eastAsia="宋体" w:cs="宋体"/>
          <w:color w:val="auto"/>
          <w:sz w:val="24"/>
          <w:szCs w:val="24"/>
          <w:highlight w:val="none"/>
        </w:rPr>
        <w:t>_），签字代表______</w:t>
      </w:r>
      <w:r>
        <w:rPr>
          <w:rFonts w:hint="eastAsia" w:ascii="宋体" w:hAnsi="宋体" w:eastAsia="宋体" w:cs="宋体"/>
          <w:color w:val="auto"/>
          <w:sz w:val="24"/>
          <w:szCs w:val="24"/>
          <w:highlight w:val="none"/>
          <w:u w:val="single"/>
        </w:rPr>
        <w:t xml:space="preserve">_     </w:t>
      </w:r>
      <w:r>
        <w:rPr>
          <w:rFonts w:hint="eastAsia" w:ascii="宋体" w:hAnsi="宋体" w:eastAsia="宋体" w:cs="宋体"/>
          <w:color w:val="auto"/>
          <w:sz w:val="24"/>
          <w:szCs w:val="24"/>
          <w:highlight w:val="none"/>
        </w:rPr>
        <w:t>（全名）经正式授权并代表投标人_____</w:t>
      </w:r>
      <w:r>
        <w:rPr>
          <w:rFonts w:hint="eastAsia" w:ascii="宋体" w:hAnsi="宋体" w:eastAsia="宋体" w:cs="宋体"/>
          <w:color w:val="auto"/>
          <w:sz w:val="24"/>
          <w:szCs w:val="24"/>
          <w:highlight w:val="none"/>
          <w:u w:val="single"/>
        </w:rPr>
        <w:t>__                    __</w:t>
      </w:r>
      <w:r>
        <w:rPr>
          <w:rFonts w:hint="eastAsia" w:ascii="宋体" w:hAnsi="宋体" w:eastAsia="宋体" w:cs="宋体"/>
          <w:color w:val="auto"/>
          <w:sz w:val="24"/>
          <w:szCs w:val="24"/>
          <w:highlight w:val="none"/>
        </w:rPr>
        <w:t>（投标人名称）提交资信技术文件、价格标文件正本各一份、副本各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已详细审查全部“择优选择文件”，包括修改文件（如有的话）以及全部参考资料和有关附件，已经了解我方对于择优选择文件、选择过程、选择结果有依文件要求进行询问、质疑、投诉的权利及相关渠道和要求。</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2.投标人在响应之前已经与贵方进行了充分的沟通，完全理解并接受择优选择文件的各项规定和要求，对择优选择文件的合理性、合法性不再有异议。</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3.本响应有效期自开标日起 ______天。</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4.如中标，本响应文件至本项目合同履行完毕止均保持有效，本投标人将按“择优选择文件”及政府采购法律、法规的规定履行合同责任和义务。</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5.投标人同意按照贵方要求提供与响应有关的一切数据或资料。</w:t>
      </w:r>
    </w:p>
    <w:p>
      <w:pPr>
        <w:spacing w:after="0"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6.与本响应有关的一切正式往来信函请寄：</w:t>
      </w: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w:t>
      </w:r>
      <w:r>
        <w:rPr>
          <w:rFonts w:hint="eastAsia" w:ascii="宋体" w:hAnsi="宋体" w:eastAsia="宋体" w:cs="宋体"/>
          <w:color w:val="auto"/>
          <w:sz w:val="24"/>
          <w:szCs w:val="24"/>
          <w:highlight w:val="none"/>
          <w:u w:val="single"/>
        </w:rPr>
        <w:t xml:space="preserve">        _</w:t>
      </w:r>
      <w:r>
        <w:rPr>
          <w:rFonts w:hint="eastAsia" w:ascii="宋体" w:hAnsi="宋体" w:eastAsia="宋体" w:cs="宋体"/>
          <w:color w:val="auto"/>
          <w:sz w:val="24"/>
          <w:szCs w:val="24"/>
          <w:highlight w:val="none"/>
        </w:rPr>
        <w:t>____邮编：__________   电话：______________</w:t>
      </w: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传真：______________投标人代表姓名 ___________  职务：______</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_______</w:t>
      </w: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投标人名称(公章):___________________</w:t>
      </w: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银行帐号：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after="0"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w:t>
      </w:r>
    </w:p>
    <w:p>
      <w:pPr>
        <w:spacing w:after="0" w:line="5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after="0" w:line="520" w:lineRule="exact"/>
        <w:ind w:firstLine="6720" w:firstLineChars="2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年___月___日</w:t>
      </w:r>
    </w:p>
    <w:p>
      <w:pPr>
        <w:spacing w:line="360" w:lineRule="auto"/>
        <w:ind w:firstLine="6720" w:firstLineChars="2800"/>
        <w:rPr>
          <w:rFonts w:hint="eastAsia" w:ascii="宋体" w:hAnsi="宋体" w:eastAsia="宋体" w:cs="宋体"/>
          <w:color w:val="auto"/>
          <w:sz w:val="24"/>
          <w:szCs w:val="24"/>
          <w:highlight w:val="none"/>
        </w:rPr>
      </w:pPr>
    </w:p>
    <w:p>
      <w:pPr>
        <w:spacing w:line="360" w:lineRule="auto"/>
        <w:ind w:firstLine="6720" w:firstLineChars="2800"/>
        <w:rPr>
          <w:rFonts w:hint="eastAsia" w:ascii="宋体" w:hAnsi="宋体" w:eastAsia="宋体" w:cs="宋体"/>
          <w:color w:val="auto"/>
          <w:sz w:val="24"/>
          <w:szCs w:val="24"/>
          <w:highlight w:val="none"/>
        </w:rPr>
      </w:pPr>
    </w:p>
    <w:p>
      <w:pPr>
        <w:spacing w:before="156" w:beforeLines="50" w:after="50"/>
        <w:rPr>
          <w:rFonts w:hint="eastAsia" w:ascii="宋体" w:hAnsi="宋体" w:eastAsia="宋体" w:cs="宋体"/>
          <w:b/>
          <w:color w:val="auto"/>
          <w:sz w:val="24"/>
          <w:szCs w:val="24"/>
          <w:highlight w:val="none"/>
        </w:rPr>
      </w:pPr>
    </w:p>
    <w:p>
      <w:pPr>
        <w:spacing w:before="156" w:beforeLines="50" w:after="50"/>
        <w:ind w:left="142"/>
        <w:jc w:val="center"/>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2.开标一览表</w:t>
      </w:r>
    </w:p>
    <w:p>
      <w:pPr>
        <w:spacing w:before="156" w:beforeLines="50" w:after="50"/>
        <w:ind w:left="142"/>
        <w:rPr>
          <w:rFonts w:hint="eastAsia" w:ascii="宋体" w:hAnsi="宋体" w:eastAsia="宋体" w:cs="宋体"/>
          <w:b/>
          <w:color w:val="auto"/>
          <w:sz w:val="24"/>
          <w:szCs w:val="24"/>
          <w:highlight w:val="none"/>
        </w:rPr>
      </w:pPr>
    </w:p>
    <w:p>
      <w:pPr>
        <w:spacing w:before="156" w:beforeLines="50" w:after="50"/>
        <w:ind w:firstLine="720"/>
        <w:jc w:val="both"/>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项目编号：</w:t>
      </w:r>
    </w:p>
    <w:tbl>
      <w:tblPr>
        <w:tblStyle w:val="18"/>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717"/>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717"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5296"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trPr>
        <w:tc>
          <w:tcPr>
            <w:tcW w:w="927"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717"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金华市医疗保障中心年度采购项目委托代理机构服务项目</w:t>
            </w:r>
          </w:p>
        </w:tc>
        <w:tc>
          <w:tcPr>
            <w:tcW w:w="5296" w:type="dxa"/>
            <w:vAlign w:val="center"/>
          </w:tcPr>
          <w:p>
            <w:pPr>
              <w:adjustRightInd/>
              <w:spacing w:line="460" w:lineRule="exact"/>
              <w:ind w:firstLine="482" w:firstLineChars="200"/>
              <w:jc w:val="both"/>
              <w:rPr>
                <w:rFonts w:hint="eastAsia" w:ascii="宋体" w:hAnsi="宋体" w:eastAsia="宋体" w:cs="宋体"/>
                <w:b/>
                <w:color w:val="auto"/>
                <w:sz w:val="24"/>
                <w:szCs w:val="24"/>
                <w:highlight w:val="none"/>
              </w:rPr>
            </w:pPr>
          </w:p>
          <w:p>
            <w:pPr>
              <w:adjustRightInd/>
              <w:spacing w:line="460" w:lineRule="exact"/>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小写：下浮</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w:t>
            </w:r>
          </w:p>
          <w:p>
            <w:pPr>
              <w:adjustRightInd/>
              <w:spacing w:line="460" w:lineRule="exact"/>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大写：下浮百分之</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w:t>
            </w:r>
          </w:p>
          <w:p>
            <w:pPr>
              <w:adjustRightInd/>
              <w:spacing w:line="460" w:lineRule="exact"/>
              <w:jc w:val="both"/>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最低招标代理起点收费为</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500元整，低于最低招标代理起点收费的项目按</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500元收费。</w:t>
            </w:r>
          </w:p>
        </w:tc>
      </w:tr>
    </w:tbl>
    <w:p>
      <w:pPr>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投标人全称（加盖公章）：</w:t>
      </w:r>
    </w:p>
    <w:p>
      <w:pPr>
        <w:jc w:val="center"/>
        <w:rPr>
          <w:rFonts w:hint="eastAsia" w:ascii="宋体" w:hAnsi="宋体" w:eastAsia="宋体" w:cs="宋体"/>
          <w:color w:val="auto"/>
          <w:sz w:val="24"/>
          <w:szCs w:val="24"/>
          <w:highlight w:val="none"/>
        </w:rPr>
      </w:pPr>
    </w:p>
    <w:p>
      <w:pPr>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w:t>
      </w:r>
    </w:p>
    <w:p>
      <w:pPr>
        <w:rPr>
          <w:rFonts w:hint="eastAsia" w:ascii="宋体" w:hAnsi="宋体" w:eastAsia="宋体" w:cs="宋体"/>
          <w:smallCaps/>
          <w:color w:val="auto"/>
          <w:sz w:val="24"/>
          <w:szCs w:val="24"/>
          <w:highlight w:val="none"/>
        </w:rPr>
      </w:pPr>
    </w:p>
    <w:p>
      <w:pPr>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ind w:firstLine="4800" w:firstLineChars="2000"/>
        <w:rPr>
          <w:rFonts w:hint="eastAsia" w:ascii="宋体" w:hAnsi="宋体" w:eastAsia="宋体" w:cs="宋体"/>
          <w:color w:val="auto"/>
          <w:sz w:val="24"/>
          <w:highlight w:val="none"/>
        </w:rPr>
      </w:pPr>
    </w:p>
    <w:p>
      <w:pPr>
        <w:rPr>
          <w:rFonts w:hint="eastAsia" w:ascii="宋体" w:hAnsi="宋体" w:eastAsia="宋体" w:cs="宋体"/>
          <w:b/>
          <w:color w:val="auto"/>
          <w:sz w:val="24"/>
          <w:highlight w:val="none"/>
        </w:rPr>
      </w:pPr>
    </w:p>
    <w:p>
      <w:pPr>
        <w:ind w:firstLine="723" w:firstLineChars="300"/>
        <w:rPr>
          <w:rFonts w:hint="eastAsia" w:ascii="宋体" w:hAnsi="宋体" w:eastAsia="宋体" w:cs="宋体"/>
          <w:b/>
          <w:color w:val="auto"/>
          <w:sz w:val="24"/>
          <w:highlight w:val="none"/>
        </w:rPr>
      </w:pPr>
    </w:p>
    <w:p>
      <w:pPr>
        <w:ind w:firstLine="723" w:firstLineChars="300"/>
        <w:rPr>
          <w:rFonts w:hint="eastAsia" w:ascii="宋体" w:hAnsi="宋体" w:eastAsia="宋体" w:cs="宋体"/>
          <w:b/>
          <w:color w:val="auto"/>
          <w:sz w:val="24"/>
          <w:highlight w:val="none"/>
        </w:rPr>
      </w:pPr>
    </w:p>
    <w:p>
      <w:pPr>
        <w:jc w:val="center"/>
        <w:rPr>
          <w:rFonts w:hint="eastAsia" w:ascii="宋体" w:hAnsi="宋体" w:eastAsia="宋体" w:cs="宋体"/>
          <w:color w:val="auto"/>
          <w:sz w:val="24"/>
          <w:szCs w:val="24"/>
          <w:highlight w:val="none"/>
        </w:rPr>
      </w:pPr>
    </w:p>
    <w:sectPr>
      <w:footerReference r:id="rId7" w:type="default"/>
      <w:pgSz w:w="11906" w:h="16838"/>
      <w:pgMar w:top="1133" w:right="850" w:bottom="1133" w:left="1134" w:header="851"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20018637"/>
                          </w:sdtPr>
                          <w:sdtContent>
                            <w:p>
                              <w:pPr>
                                <w:pStyle w:val="1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9"/>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sdt>
                    <w:sdtPr>
                      <w:id w:val="120018637"/>
                    </w:sdtPr>
                    <w:sdtContent>
                      <w:p>
                        <w:pPr>
                          <w:pStyle w:val="1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9"/>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eUWf3LAQAAeQMAAA4AAAAAAAAAAQAgAAAAHgEAAGRycy9lMm9E&#10;b2MueG1sUEsFBgAAAAAGAAYAWQEAAFs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jc w:val="center"/>
                          </w:pPr>
                          <w:r>
                            <w:fldChar w:fldCharType="begin"/>
                          </w:r>
                          <w:r>
                            <w:instrText xml:space="preserve"> PAGE   \* MERGEFORMAT </w:instrText>
                          </w:r>
                          <w:r>
                            <w:fldChar w:fldCharType="separate"/>
                          </w:r>
                          <w:r>
                            <w:rPr>
                              <w:lang w:val="zh-CN"/>
                            </w:rPr>
                            <w:t>9</w:t>
                          </w:r>
                          <w:r>
                            <w:rPr>
                              <w:lang w:val="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1iS+zAEAAHkDAAAOAAAAAAAAAAEAIAAAAB4BAABkcnMvZTJv&#10;RG9jLnhtbFBLBQYAAAAABgAGAFkBAABcBQ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mc:Fallback>
      </mc:AlternateContent>
    </w:r>
  </w:p>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410" w:firstLineChars="245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ind w:firstLine="4410" w:firstLineChars="2450"/>
                          </w:pPr>
                          <w:r>
                            <w:fldChar w:fldCharType="begin"/>
                          </w:r>
                          <w:r>
                            <w:instrText xml:space="preserve"> PAGE   \* MERGEFORMAT </w:instrText>
                          </w:r>
                          <w:r>
                            <w:fldChar w:fldCharType="separate"/>
                          </w:r>
                          <w:r>
                            <w:rPr>
                              <w:lang w:val="zh-CN"/>
                            </w:rPr>
                            <w:t>16</w:t>
                          </w:r>
                          <w:r>
                            <w:rPr>
                              <w:lang w:val="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HietzAEAAHkDAAAOAAAAAAAAAAEAIAAAAB4BAABkcnMvZTJv&#10;RG9jLnhtbFBLBQYAAAAABgAGAFkBAABcBQAAAAA=&#10;">
              <v:fill on="f" focussize="0,0"/>
              <v:stroke on="f"/>
              <v:imagedata o:title=""/>
              <o:lock v:ext="edit" aspectratio="f"/>
              <v:textbox inset="0mm,0mm,0mm,0mm" style="mso-fit-shape-to-text:t;">
                <w:txbxContent>
                  <w:p>
                    <w:pPr>
                      <w:pStyle w:val="15"/>
                      <w:ind w:firstLine="4410" w:firstLineChars="2450"/>
                    </w:pPr>
                    <w:r>
                      <w:fldChar w:fldCharType="begin"/>
                    </w:r>
                    <w:r>
                      <w:instrText xml:space="preserve"> PAGE   \* MERGEFORMAT </w:instrText>
                    </w:r>
                    <w:r>
                      <w:fldChar w:fldCharType="separate"/>
                    </w:r>
                    <w:r>
                      <w:rPr>
                        <w:lang w:val="zh-CN"/>
                      </w:rPr>
                      <w:t>16</w:t>
                    </w:r>
                    <w:r>
                      <w:rPr>
                        <w:lang w:val="zh-CN"/>
                      </w:rPr>
                      <w:fldChar w:fldCharType="end"/>
                    </w:r>
                  </w:p>
                </w:txbxContent>
              </v:textbox>
            </v:shape>
          </w:pict>
        </mc:Fallback>
      </mc:AlternateContent>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B0325"/>
    <w:multiLevelType w:val="singleLevel"/>
    <w:tmpl w:val="C67B0325"/>
    <w:lvl w:ilvl="0" w:tentative="0">
      <w:start w:val="4"/>
      <w:numFmt w:val="decimal"/>
      <w:suff w:val="nothing"/>
      <w:lvlText w:val="%1．"/>
      <w:lvlJc w:val="left"/>
    </w:lvl>
  </w:abstractNum>
  <w:abstractNum w:abstractNumId="1">
    <w:nsid w:val="62838777"/>
    <w:multiLevelType w:val="singleLevel"/>
    <w:tmpl w:val="6283877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MGQ3NTA5ZmJlYTNkOTM4NWNhMjZhOTM4NzlkNDYifQ=="/>
  </w:docVars>
  <w:rsids>
    <w:rsidRoot w:val="0053739A"/>
    <w:rsid w:val="0000209F"/>
    <w:rsid w:val="00010414"/>
    <w:rsid w:val="000126A1"/>
    <w:rsid w:val="00041C90"/>
    <w:rsid w:val="00043A54"/>
    <w:rsid w:val="00046F86"/>
    <w:rsid w:val="00047862"/>
    <w:rsid w:val="000502DC"/>
    <w:rsid w:val="000542CE"/>
    <w:rsid w:val="00065CFE"/>
    <w:rsid w:val="00082522"/>
    <w:rsid w:val="000842D8"/>
    <w:rsid w:val="0008720E"/>
    <w:rsid w:val="000876FF"/>
    <w:rsid w:val="000B19F3"/>
    <w:rsid w:val="000C0FB1"/>
    <w:rsid w:val="000C1802"/>
    <w:rsid w:val="000C1951"/>
    <w:rsid w:val="000C1BDB"/>
    <w:rsid w:val="000D1BE3"/>
    <w:rsid w:val="000D1BF3"/>
    <w:rsid w:val="000D2474"/>
    <w:rsid w:val="000D41A4"/>
    <w:rsid w:val="000E4B82"/>
    <w:rsid w:val="00101AB7"/>
    <w:rsid w:val="00101E38"/>
    <w:rsid w:val="00102B0F"/>
    <w:rsid w:val="00104C7A"/>
    <w:rsid w:val="0010638A"/>
    <w:rsid w:val="00106B02"/>
    <w:rsid w:val="00110B7F"/>
    <w:rsid w:val="00111D8B"/>
    <w:rsid w:val="00123903"/>
    <w:rsid w:val="0012456F"/>
    <w:rsid w:val="00125965"/>
    <w:rsid w:val="00132C8A"/>
    <w:rsid w:val="001361FE"/>
    <w:rsid w:val="00143EAD"/>
    <w:rsid w:val="001445F3"/>
    <w:rsid w:val="00156D5D"/>
    <w:rsid w:val="001578FD"/>
    <w:rsid w:val="00182915"/>
    <w:rsid w:val="001855AB"/>
    <w:rsid w:val="0018765B"/>
    <w:rsid w:val="00191FA8"/>
    <w:rsid w:val="00194F4B"/>
    <w:rsid w:val="001A142F"/>
    <w:rsid w:val="001B28EE"/>
    <w:rsid w:val="001B359D"/>
    <w:rsid w:val="001B410A"/>
    <w:rsid w:val="001B53CA"/>
    <w:rsid w:val="001B5628"/>
    <w:rsid w:val="001C4702"/>
    <w:rsid w:val="001C5F6C"/>
    <w:rsid w:val="001D0198"/>
    <w:rsid w:val="001D0FFF"/>
    <w:rsid w:val="001D163A"/>
    <w:rsid w:val="001D6C7C"/>
    <w:rsid w:val="001D70F5"/>
    <w:rsid w:val="001E7D86"/>
    <w:rsid w:val="001F0047"/>
    <w:rsid w:val="001F232F"/>
    <w:rsid w:val="001F323D"/>
    <w:rsid w:val="00207141"/>
    <w:rsid w:val="00225AE9"/>
    <w:rsid w:val="0023712F"/>
    <w:rsid w:val="002373D5"/>
    <w:rsid w:val="00240ABF"/>
    <w:rsid w:val="00246532"/>
    <w:rsid w:val="00247544"/>
    <w:rsid w:val="00252D1F"/>
    <w:rsid w:val="002531F6"/>
    <w:rsid w:val="00262F27"/>
    <w:rsid w:val="00273034"/>
    <w:rsid w:val="00277B9C"/>
    <w:rsid w:val="00280309"/>
    <w:rsid w:val="00284ACF"/>
    <w:rsid w:val="00294B1F"/>
    <w:rsid w:val="002A035A"/>
    <w:rsid w:val="002A035F"/>
    <w:rsid w:val="002B39DB"/>
    <w:rsid w:val="002B3F02"/>
    <w:rsid w:val="002C0CDC"/>
    <w:rsid w:val="002C416B"/>
    <w:rsid w:val="002D1F5F"/>
    <w:rsid w:val="002D6E7A"/>
    <w:rsid w:val="002E08B9"/>
    <w:rsid w:val="002E3BF0"/>
    <w:rsid w:val="002E6765"/>
    <w:rsid w:val="002F1F7A"/>
    <w:rsid w:val="002F2C55"/>
    <w:rsid w:val="002F66B6"/>
    <w:rsid w:val="00303A2F"/>
    <w:rsid w:val="00305B15"/>
    <w:rsid w:val="00311B89"/>
    <w:rsid w:val="00311B8D"/>
    <w:rsid w:val="0031366F"/>
    <w:rsid w:val="003165BB"/>
    <w:rsid w:val="00320840"/>
    <w:rsid w:val="0032161E"/>
    <w:rsid w:val="00321BF4"/>
    <w:rsid w:val="0032534F"/>
    <w:rsid w:val="0033256C"/>
    <w:rsid w:val="00335723"/>
    <w:rsid w:val="003361A4"/>
    <w:rsid w:val="00342420"/>
    <w:rsid w:val="0034671C"/>
    <w:rsid w:val="00347112"/>
    <w:rsid w:val="0035183B"/>
    <w:rsid w:val="0035523B"/>
    <w:rsid w:val="00362476"/>
    <w:rsid w:val="00376569"/>
    <w:rsid w:val="0038067C"/>
    <w:rsid w:val="003827F6"/>
    <w:rsid w:val="00384BFC"/>
    <w:rsid w:val="003875BE"/>
    <w:rsid w:val="00395263"/>
    <w:rsid w:val="003A0B9D"/>
    <w:rsid w:val="003A47FD"/>
    <w:rsid w:val="003B1C9D"/>
    <w:rsid w:val="003B583B"/>
    <w:rsid w:val="003B610B"/>
    <w:rsid w:val="003C73AA"/>
    <w:rsid w:val="003E1E93"/>
    <w:rsid w:val="003E2346"/>
    <w:rsid w:val="003F12EE"/>
    <w:rsid w:val="00400E7C"/>
    <w:rsid w:val="004013F5"/>
    <w:rsid w:val="00401D57"/>
    <w:rsid w:val="004113AB"/>
    <w:rsid w:val="004121CE"/>
    <w:rsid w:val="00420080"/>
    <w:rsid w:val="00420E92"/>
    <w:rsid w:val="004215B4"/>
    <w:rsid w:val="00423764"/>
    <w:rsid w:val="00423C44"/>
    <w:rsid w:val="0043219D"/>
    <w:rsid w:val="00436393"/>
    <w:rsid w:val="00437CD8"/>
    <w:rsid w:val="0044070C"/>
    <w:rsid w:val="00442E0B"/>
    <w:rsid w:val="00445803"/>
    <w:rsid w:val="0046107E"/>
    <w:rsid w:val="004611C1"/>
    <w:rsid w:val="00466326"/>
    <w:rsid w:val="00466889"/>
    <w:rsid w:val="00476485"/>
    <w:rsid w:val="004866C4"/>
    <w:rsid w:val="004A5D38"/>
    <w:rsid w:val="004A6A4B"/>
    <w:rsid w:val="004A7088"/>
    <w:rsid w:val="004B0C94"/>
    <w:rsid w:val="004B245D"/>
    <w:rsid w:val="004B3833"/>
    <w:rsid w:val="004C1951"/>
    <w:rsid w:val="004C5CA0"/>
    <w:rsid w:val="004C5E41"/>
    <w:rsid w:val="004C68E7"/>
    <w:rsid w:val="004C7FED"/>
    <w:rsid w:val="004D7CFD"/>
    <w:rsid w:val="004E126B"/>
    <w:rsid w:val="004E349E"/>
    <w:rsid w:val="00507F4F"/>
    <w:rsid w:val="0051670B"/>
    <w:rsid w:val="00526DC3"/>
    <w:rsid w:val="0053739A"/>
    <w:rsid w:val="00546EB8"/>
    <w:rsid w:val="00547B1E"/>
    <w:rsid w:val="00553AAA"/>
    <w:rsid w:val="00553D86"/>
    <w:rsid w:val="00554E52"/>
    <w:rsid w:val="00556871"/>
    <w:rsid w:val="00557CD1"/>
    <w:rsid w:val="00563638"/>
    <w:rsid w:val="00567430"/>
    <w:rsid w:val="00567843"/>
    <w:rsid w:val="005707CB"/>
    <w:rsid w:val="005759F3"/>
    <w:rsid w:val="00584EFF"/>
    <w:rsid w:val="00590F42"/>
    <w:rsid w:val="00591E6F"/>
    <w:rsid w:val="00592226"/>
    <w:rsid w:val="005A035D"/>
    <w:rsid w:val="005A6751"/>
    <w:rsid w:val="005B027E"/>
    <w:rsid w:val="005B32F3"/>
    <w:rsid w:val="005D7378"/>
    <w:rsid w:val="005E1898"/>
    <w:rsid w:val="005E219E"/>
    <w:rsid w:val="005E3E2A"/>
    <w:rsid w:val="005F42F4"/>
    <w:rsid w:val="00601170"/>
    <w:rsid w:val="00606EF5"/>
    <w:rsid w:val="006213E1"/>
    <w:rsid w:val="006256E3"/>
    <w:rsid w:val="006262EC"/>
    <w:rsid w:val="006269DB"/>
    <w:rsid w:val="00634360"/>
    <w:rsid w:val="00634EF6"/>
    <w:rsid w:val="00635992"/>
    <w:rsid w:val="006361CC"/>
    <w:rsid w:val="00636E77"/>
    <w:rsid w:val="0063719E"/>
    <w:rsid w:val="00640FA3"/>
    <w:rsid w:val="00647252"/>
    <w:rsid w:val="006529C2"/>
    <w:rsid w:val="006617F1"/>
    <w:rsid w:val="006647C2"/>
    <w:rsid w:val="00664884"/>
    <w:rsid w:val="00672F5F"/>
    <w:rsid w:val="00675711"/>
    <w:rsid w:val="0067771D"/>
    <w:rsid w:val="00684932"/>
    <w:rsid w:val="00692C16"/>
    <w:rsid w:val="006A00B6"/>
    <w:rsid w:val="006A1E01"/>
    <w:rsid w:val="006A7401"/>
    <w:rsid w:val="006B40D2"/>
    <w:rsid w:val="006C1A60"/>
    <w:rsid w:val="006C5B85"/>
    <w:rsid w:val="006D0283"/>
    <w:rsid w:val="006D02AE"/>
    <w:rsid w:val="006D3D48"/>
    <w:rsid w:val="006D5333"/>
    <w:rsid w:val="006E45F6"/>
    <w:rsid w:val="007008CB"/>
    <w:rsid w:val="007019C2"/>
    <w:rsid w:val="00705F24"/>
    <w:rsid w:val="00707174"/>
    <w:rsid w:val="007102E1"/>
    <w:rsid w:val="00754C00"/>
    <w:rsid w:val="00755557"/>
    <w:rsid w:val="00780013"/>
    <w:rsid w:val="0078173A"/>
    <w:rsid w:val="0078462E"/>
    <w:rsid w:val="00790693"/>
    <w:rsid w:val="00793A1B"/>
    <w:rsid w:val="007A4044"/>
    <w:rsid w:val="007A419D"/>
    <w:rsid w:val="007A463F"/>
    <w:rsid w:val="007A5186"/>
    <w:rsid w:val="007A6AE2"/>
    <w:rsid w:val="007A6D7F"/>
    <w:rsid w:val="007A7DB2"/>
    <w:rsid w:val="007B4A85"/>
    <w:rsid w:val="007C1C26"/>
    <w:rsid w:val="007C7966"/>
    <w:rsid w:val="007D1EE1"/>
    <w:rsid w:val="007D6E8A"/>
    <w:rsid w:val="007E08E3"/>
    <w:rsid w:val="007E14AE"/>
    <w:rsid w:val="007E2E3D"/>
    <w:rsid w:val="007E5003"/>
    <w:rsid w:val="007E60A5"/>
    <w:rsid w:val="007F20C3"/>
    <w:rsid w:val="007F3C3B"/>
    <w:rsid w:val="007F5A35"/>
    <w:rsid w:val="007F74D9"/>
    <w:rsid w:val="0080592B"/>
    <w:rsid w:val="00805CC5"/>
    <w:rsid w:val="0081772E"/>
    <w:rsid w:val="00820CEA"/>
    <w:rsid w:val="00824B62"/>
    <w:rsid w:val="00836598"/>
    <w:rsid w:val="00836A74"/>
    <w:rsid w:val="008464D5"/>
    <w:rsid w:val="008519BD"/>
    <w:rsid w:val="008647E8"/>
    <w:rsid w:val="00866BD6"/>
    <w:rsid w:val="0087304C"/>
    <w:rsid w:val="00881080"/>
    <w:rsid w:val="0088402F"/>
    <w:rsid w:val="00887AF2"/>
    <w:rsid w:val="00897AAF"/>
    <w:rsid w:val="008A25B3"/>
    <w:rsid w:val="008A4C28"/>
    <w:rsid w:val="008A679E"/>
    <w:rsid w:val="008B311C"/>
    <w:rsid w:val="008B38A7"/>
    <w:rsid w:val="008C5174"/>
    <w:rsid w:val="008D5145"/>
    <w:rsid w:val="008D63CA"/>
    <w:rsid w:val="008F0678"/>
    <w:rsid w:val="008F1E75"/>
    <w:rsid w:val="008F2FFE"/>
    <w:rsid w:val="008F635A"/>
    <w:rsid w:val="00900A3B"/>
    <w:rsid w:val="00906EB2"/>
    <w:rsid w:val="0091627B"/>
    <w:rsid w:val="0093190A"/>
    <w:rsid w:val="00941C6A"/>
    <w:rsid w:val="00952E3E"/>
    <w:rsid w:val="00954A47"/>
    <w:rsid w:val="009609C0"/>
    <w:rsid w:val="0096242A"/>
    <w:rsid w:val="00962E9B"/>
    <w:rsid w:val="009631B2"/>
    <w:rsid w:val="0097007F"/>
    <w:rsid w:val="0097143B"/>
    <w:rsid w:val="009819DF"/>
    <w:rsid w:val="00984B2C"/>
    <w:rsid w:val="009852BA"/>
    <w:rsid w:val="00987385"/>
    <w:rsid w:val="009930F4"/>
    <w:rsid w:val="009A09D3"/>
    <w:rsid w:val="009B64F4"/>
    <w:rsid w:val="009D4601"/>
    <w:rsid w:val="009D7B5B"/>
    <w:rsid w:val="009D7DFB"/>
    <w:rsid w:val="009E00D3"/>
    <w:rsid w:val="009F4575"/>
    <w:rsid w:val="009F6F1F"/>
    <w:rsid w:val="00A03ADE"/>
    <w:rsid w:val="00A05C74"/>
    <w:rsid w:val="00A062C7"/>
    <w:rsid w:val="00A13CAC"/>
    <w:rsid w:val="00A16A27"/>
    <w:rsid w:val="00A234EE"/>
    <w:rsid w:val="00A27162"/>
    <w:rsid w:val="00A27D43"/>
    <w:rsid w:val="00A32AB7"/>
    <w:rsid w:val="00A33408"/>
    <w:rsid w:val="00A34A5D"/>
    <w:rsid w:val="00A35121"/>
    <w:rsid w:val="00A36113"/>
    <w:rsid w:val="00A42F39"/>
    <w:rsid w:val="00A51B1F"/>
    <w:rsid w:val="00A54517"/>
    <w:rsid w:val="00A5544C"/>
    <w:rsid w:val="00A55CAF"/>
    <w:rsid w:val="00A63F88"/>
    <w:rsid w:val="00A70148"/>
    <w:rsid w:val="00A72E04"/>
    <w:rsid w:val="00A73EC0"/>
    <w:rsid w:val="00A74848"/>
    <w:rsid w:val="00A90DE3"/>
    <w:rsid w:val="00AA48D3"/>
    <w:rsid w:val="00AA59A2"/>
    <w:rsid w:val="00AB4F94"/>
    <w:rsid w:val="00AC3FC5"/>
    <w:rsid w:val="00AC5438"/>
    <w:rsid w:val="00AE0F37"/>
    <w:rsid w:val="00B021FE"/>
    <w:rsid w:val="00B067FD"/>
    <w:rsid w:val="00B17C91"/>
    <w:rsid w:val="00B35B50"/>
    <w:rsid w:val="00B35CC1"/>
    <w:rsid w:val="00B369F0"/>
    <w:rsid w:val="00B4206C"/>
    <w:rsid w:val="00B473F6"/>
    <w:rsid w:val="00B5181D"/>
    <w:rsid w:val="00B526CC"/>
    <w:rsid w:val="00B531E8"/>
    <w:rsid w:val="00B56181"/>
    <w:rsid w:val="00B572E2"/>
    <w:rsid w:val="00B61837"/>
    <w:rsid w:val="00B66063"/>
    <w:rsid w:val="00B72E21"/>
    <w:rsid w:val="00B831FF"/>
    <w:rsid w:val="00B83AF7"/>
    <w:rsid w:val="00B84E9E"/>
    <w:rsid w:val="00B85F88"/>
    <w:rsid w:val="00B95294"/>
    <w:rsid w:val="00BA0C5B"/>
    <w:rsid w:val="00BA0EF6"/>
    <w:rsid w:val="00BB45B2"/>
    <w:rsid w:val="00BC504E"/>
    <w:rsid w:val="00BC6EDA"/>
    <w:rsid w:val="00BD678E"/>
    <w:rsid w:val="00BD71CC"/>
    <w:rsid w:val="00BE212F"/>
    <w:rsid w:val="00BF6286"/>
    <w:rsid w:val="00C02A80"/>
    <w:rsid w:val="00C04DA5"/>
    <w:rsid w:val="00C0564B"/>
    <w:rsid w:val="00C117C2"/>
    <w:rsid w:val="00C13641"/>
    <w:rsid w:val="00C142F3"/>
    <w:rsid w:val="00C15CD6"/>
    <w:rsid w:val="00C2742E"/>
    <w:rsid w:val="00C329A3"/>
    <w:rsid w:val="00C35BB7"/>
    <w:rsid w:val="00C361BD"/>
    <w:rsid w:val="00C3751D"/>
    <w:rsid w:val="00C4449E"/>
    <w:rsid w:val="00C46F72"/>
    <w:rsid w:val="00C47ABB"/>
    <w:rsid w:val="00C5190D"/>
    <w:rsid w:val="00C5260C"/>
    <w:rsid w:val="00C527B7"/>
    <w:rsid w:val="00C61B20"/>
    <w:rsid w:val="00C638B8"/>
    <w:rsid w:val="00C677E8"/>
    <w:rsid w:val="00C70F33"/>
    <w:rsid w:val="00C74D5F"/>
    <w:rsid w:val="00C80810"/>
    <w:rsid w:val="00C9566E"/>
    <w:rsid w:val="00C96EBA"/>
    <w:rsid w:val="00C975FD"/>
    <w:rsid w:val="00CA14F4"/>
    <w:rsid w:val="00CB11D7"/>
    <w:rsid w:val="00CB1A04"/>
    <w:rsid w:val="00CB1D63"/>
    <w:rsid w:val="00CB66AB"/>
    <w:rsid w:val="00CB7D3D"/>
    <w:rsid w:val="00CC146E"/>
    <w:rsid w:val="00CC3AEF"/>
    <w:rsid w:val="00CC59DD"/>
    <w:rsid w:val="00CC7942"/>
    <w:rsid w:val="00CE5342"/>
    <w:rsid w:val="00D10AAB"/>
    <w:rsid w:val="00D14137"/>
    <w:rsid w:val="00D1748B"/>
    <w:rsid w:val="00D241E7"/>
    <w:rsid w:val="00D30B5C"/>
    <w:rsid w:val="00D441E4"/>
    <w:rsid w:val="00D53106"/>
    <w:rsid w:val="00D56227"/>
    <w:rsid w:val="00D62406"/>
    <w:rsid w:val="00D62760"/>
    <w:rsid w:val="00D670F9"/>
    <w:rsid w:val="00D755E0"/>
    <w:rsid w:val="00D827B1"/>
    <w:rsid w:val="00D83A74"/>
    <w:rsid w:val="00D840E1"/>
    <w:rsid w:val="00DA7345"/>
    <w:rsid w:val="00DB6DCD"/>
    <w:rsid w:val="00DC5C25"/>
    <w:rsid w:val="00DC5E57"/>
    <w:rsid w:val="00DD1A40"/>
    <w:rsid w:val="00DD7F62"/>
    <w:rsid w:val="00DE41F3"/>
    <w:rsid w:val="00DF3767"/>
    <w:rsid w:val="00DF4997"/>
    <w:rsid w:val="00DF5E8B"/>
    <w:rsid w:val="00E00C6E"/>
    <w:rsid w:val="00E15492"/>
    <w:rsid w:val="00E31271"/>
    <w:rsid w:val="00E376BF"/>
    <w:rsid w:val="00E40499"/>
    <w:rsid w:val="00E44CAB"/>
    <w:rsid w:val="00E50D45"/>
    <w:rsid w:val="00E5246E"/>
    <w:rsid w:val="00E5361D"/>
    <w:rsid w:val="00E6114B"/>
    <w:rsid w:val="00E644F5"/>
    <w:rsid w:val="00E6502A"/>
    <w:rsid w:val="00E7655F"/>
    <w:rsid w:val="00E90FD0"/>
    <w:rsid w:val="00E91EED"/>
    <w:rsid w:val="00EA1C00"/>
    <w:rsid w:val="00EC78B2"/>
    <w:rsid w:val="00EC7F54"/>
    <w:rsid w:val="00ED4EA0"/>
    <w:rsid w:val="00ED69D7"/>
    <w:rsid w:val="00EF5617"/>
    <w:rsid w:val="00F00620"/>
    <w:rsid w:val="00F12BD4"/>
    <w:rsid w:val="00F25607"/>
    <w:rsid w:val="00F31E63"/>
    <w:rsid w:val="00F3604B"/>
    <w:rsid w:val="00F37291"/>
    <w:rsid w:val="00F45E4C"/>
    <w:rsid w:val="00F5320F"/>
    <w:rsid w:val="00F63462"/>
    <w:rsid w:val="00F64EB2"/>
    <w:rsid w:val="00F73B3D"/>
    <w:rsid w:val="00F75AB9"/>
    <w:rsid w:val="00F75CF1"/>
    <w:rsid w:val="00F7727B"/>
    <w:rsid w:val="00F8528E"/>
    <w:rsid w:val="00F96D83"/>
    <w:rsid w:val="00F9794D"/>
    <w:rsid w:val="00FA79DA"/>
    <w:rsid w:val="00FB0C95"/>
    <w:rsid w:val="00FB413C"/>
    <w:rsid w:val="00FB4CD8"/>
    <w:rsid w:val="00FB50AB"/>
    <w:rsid w:val="00FB566E"/>
    <w:rsid w:val="00FC3BB3"/>
    <w:rsid w:val="00FE772B"/>
    <w:rsid w:val="00FF01C9"/>
    <w:rsid w:val="00FF19EE"/>
    <w:rsid w:val="00FF5CE2"/>
    <w:rsid w:val="038E69E3"/>
    <w:rsid w:val="03D9440D"/>
    <w:rsid w:val="07A57856"/>
    <w:rsid w:val="087F323E"/>
    <w:rsid w:val="08CB7D60"/>
    <w:rsid w:val="0BAC2914"/>
    <w:rsid w:val="0C3A0703"/>
    <w:rsid w:val="0C481203"/>
    <w:rsid w:val="15E117C9"/>
    <w:rsid w:val="17541E5D"/>
    <w:rsid w:val="1A1A3838"/>
    <w:rsid w:val="1A915469"/>
    <w:rsid w:val="1AD72171"/>
    <w:rsid w:val="1CD979F0"/>
    <w:rsid w:val="1FBB1F14"/>
    <w:rsid w:val="254A073A"/>
    <w:rsid w:val="28EE5AFA"/>
    <w:rsid w:val="2A4B182C"/>
    <w:rsid w:val="2AE75D64"/>
    <w:rsid w:val="2AF54119"/>
    <w:rsid w:val="2D1D4CCD"/>
    <w:rsid w:val="2E800997"/>
    <w:rsid w:val="30187141"/>
    <w:rsid w:val="32AD5331"/>
    <w:rsid w:val="33DF9609"/>
    <w:rsid w:val="35CA7BA8"/>
    <w:rsid w:val="367D6E8D"/>
    <w:rsid w:val="394D28D8"/>
    <w:rsid w:val="3D757A22"/>
    <w:rsid w:val="3E1F4C31"/>
    <w:rsid w:val="3E7FB153"/>
    <w:rsid w:val="41841C73"/>
    <w:rsid w:val="42D479D6"/>
    <w:rsid w:val="4478714D"/>
    <w:rsid w:val="45DC588D"/>
    <w:rsid w:val="46196BB8"/>
    <w:rsid w:val="46815DB0"/>
    <w:rsid w:val="46AB7443"/>
    <w:rsid w:val="494B0469"/>
    <w:rsid w:val="4AC36586"/>
    <w:rsid w:val="4AF76666"/>
    <w:rsid w:val="4BCC7EF5"/>
    <w:rsid w:val="4D2D2347"/>
    <w:rsid w:val="56871EA2"/>
    <w:rsid w:val="56BE6D1E"/>
    <w:rsid w:val="57B610FF"/>
    <w:rsid w:val="58C47EF0"/>
    <w:rsid w:val="5D7131E1"/>
    <w:rsid w:val="5FA72C6F"/>
    <w:rsid w:val="5FDADB1A"/>
    <w:rsid w:val="6263669A"/>
    <w:rsid w:val="626B1DEA"/>
    <w:rsid w:val="64A12D89"/>
    <w:rsid w:val="65B25B87"/>
    <w:rsid w:val="662028CD"/>
    <w:rsid w:val="665422BC"/>
    <w:rsid w:val="68E10505"/>
    <w:rsid w:val="69073CB1"/>
    <w:rsid w:val="6AFFEFCF"/>
    <w:rsid w:val="6B142F59"/>
    <w:rsid w:val="6B5A4278"/>
    <w:rsid w:val="6C4F7928"/>
    <w:rsid w:val="6C9F2CF6"/>
    <w:rsid w:val="6D676070"/>
    <w:rsid w:val="6E3A2A80"/>
    <w:rsid w:val="75738D5D"/>
    <w:rsid w:val="76B578E9"/>
    <w:rsid w:val="76CF42CA"/>
    <w:rsid w:val="775A0451"/>
    <w:rsid w:val="78700310"/>
    <w:rsid w:val="7C376B42"/>
    <w:rsid w:val="7CAB1D39"/>
    <w:rsid w:val="7DDB8C17"/>
    <w:rsid w:val="7E56097C"/>
    <w:rsid w:val="7FF5DF5F"/>
    <w:rsid w:val="BF6F3631"/>
    <w:rsid w:val="CDFF7B44"/>
    <w:rsid w:val="EEFDABB5"/>
    <w:rsid w:val="F7DA4B46"/>
    <w:rsid w:val="FEDB8D21"/>
    <w:rsid w:val="FFFBC1D1"/>
    <w:rsid w:val="FFFF0F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9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link w:val="23"/>
    <w:qFormat/>
    <w:uiPriority w:val="99"/>
    <w:pPr>
      <w:keepNext/>
      <w:keepLines/>
      <w:widowControl w:val="0"/>
      <w:adjustRightInd/>
      <w:snapToGrid/>
      <w:spacing w:after="0" w:line="360" w:lineRule="auto"/>
      <w:jc w:val="both"/>
      <w:outlineLvl w:val="0"/>
    </w:pPr>
    <w:rPr>
      <w:rFonts w:ascii="Times New Roman" w:hAnsi="Times New Roman" w:eastAsia="宋体"/>
      <w:b/>
      <w:bCs/>
      <w:kern w:val="44"/>
      <w:sz w:val="32"/>
      <w:szCs w:val="32"/>
    </w:rPr>
  </w:style>
  <w:style w:type="paragraph" w:styleId="5">
    <w:name w:val="heading 2"/>
    <w:basedOn w:val="1"/>
    <w:next w:val="1"/>
    <w:link w:val="24"/>
    <w:qFormat/>
    <w:uiPriority w:val="0"/>
    <w:pPr>
      <w:keepNext/>
      <w:keepLines/>
      <w:widowControl w:val="0"/>
      <w:adjustRightInd/>
      <w:snapToGrid/>
      <w:spacing w:before="20" w:after="20" w:line="416" w:lineRule="auto"/>
      <w:jc w:val="both"/>
      <w:outlineLvl w:val="1"/>
    </w:pPr>
    <w:rPr>
      <w:rFonts w:ascii="Arial" w:hAnsi="Arial" w:eastAsia="黑体"/>
      <w:b/>
      <w:bCs/>
      <w:kern w:val="2"/>
      <w:sz w:val="32"/>
      <w:szCs w:val="32"/>
    </w:rPr>
  </w:style>
  <w:style w:type="paragraph" w:styleId="6">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30"/>
    <w:qFormat/>
    <w:uiPriority w:val="0"/>
    <w:pPr>
      <w:ind w:firstLine="420" w:firstLineChars="200"/>
    </w:pPr>
    <w:rPr>
      <w:rFonts w:ascii="宋体" w:hAnsi="宋体" w:cs="宋体"/>
    </w:rPr>
  </w:style>
  <w:style w:type="paragraph" w:styleId="3">
    <w:name w:val="Body Text Indent"/>
    <w:basedOn w:val="1"/>
    <w:next w:val="1"/>
    <w:link w:val="29"/>
    <w:qFormat/>
    <w:uiPriority w:val="99"/>
    <w:pPr>
      <w:widowControl w:val="0"/>
      <w:adjustRightInd/>
      <w:snapToGrid/>
      <w:spacing w:after="120"/>
      <w:ind w:left="420" w:leftChars="200"/>
      <w:jc w:val="both"/>
    </w:pPr>
    <w:rPr>
      <w:rFonts w:ascii="Times New Roman" w:hAnsi="Times New Roman" w:eastAsia="宋体"/>
      <w:kern w:val="2"/>
      <w:sz w:val="21"/>
      <w:szCs w:val="21"/>
    </w:rPr>
  </w:style>
  <w:style w:type="paragraph" w:styleId="8">
    <w:name w:val="Body Text"/>
    <w:basedOn w:val="1"/>
    <w:next w:val="9"/>
    <w:qFormat/>
    <w:uiPriority w:val="0"/>
    <w:rPr>
      <w:sz w:val="28"/>
    </w:rPr>
  </w:style>
  <w:style w:type="paragraph" w:styleId="9">
    <w:name w:val="Body Text First Indent"/>
    <w:basedOn w:val="8"/>
    <w:next w:val="10"/>
    <w:qFormat/>
    <w:uiPriority w:val="99"/>
    <w:pPr>
      <w:spacing w:after="120"/>
      <w:ind w:firstLine="420" w:firstLineChars="100"/>
    </w:pPr>
    <w:rPr>
      <w:sz w:val="34"/>
    </w:rPr>
  </w:style>
  <w:style w:type="paragraph" w:styleId="10">
    <w:name w:val="toc 6"/>
    <w:basedOn w:val="1"/>
    <w:next w:val="1"/>
    <w:unhideWhenUsed/>
    <w:qFormat/>
    <w:uiPriority w:val="39"/>
    <w:pPr>
      <w:ind w:left="2100" w:leftChars="1000"/>
    </w:pPr>
  </w:style>
  <w:style w:type="paragraph" w:styleId="11">
    <w:name w:val="toc 3"/>
    <w:basedOn w:val="1"/>
    <w:next w:val="1"/>
    <w:semiHidden/>
    <w:qFormat/>
    <w:uiPriority w:val="99"/>
    <w:pPr>
      <w:widowControl w:val="0"/>
      <w:tabs>
        <w:tab w:val="right" w:leader="dot" w:pos="9628"/>
      </w:tabs>
      <w:adjustRightInd/>
      <w:snapToGrid/>
      <w:spacing w:after="0" w:line="360" w:lineRule="auto"/>
      <w:ind w:left="840"/>
      <w:jc w:val="both"/>
    </w:pPr>
    <w:rPr>
      <w:rFonts w:ascii="Times New Roman" w:hAnsi="Times New Roman" w:eastAsia="宋体"/>
      <w:color w:val="000000"/>
      <w:kern w:val="2"/>
      <w:sz w:val="21"/>
      <w:szCs w:val="21"/>
    </w:rPr>
  </w:style>
  <w:style w:type="paragraph" w:styleId="12">
    <w:name w:val="Plain Text"/>
    <w:basedOn w:val="1"/>
    <w:link w:val="33"/>
    <w:qFormat/>
    <w:uiPriority w:val="0"/>
    <w:pPr>
      <w:widowControl w:val="0"/>
      <w:adjustRightInd/>
      <w:snapToGrid/>
      <w:spacing w:beforeLines="50" w:afterLines="50" w:line="400" w:lineRule="exact"/>
      <w:jc w:val="both"/>
    </w:pPr>
    <w:rPr>
      <w:rFonts w:ascii="宋体" w:hAnsi="Courier New" w:eastAsia="宋体"/>
      <w:kern w:val="2"/>
      <w:sz w:val="24"/>
      <w:szCs w:val="24"/>
    </w:rPr>
  </w:style>
  <w:style w:type="paragraph" w:styleId="13">
    <w:name w:val="Date"/>
    <w:basedOn w:val="1"/>
    <w:next w:val="1"/>
    <w:link w:val="32"/>
    <w:unhideWhenUsed/>
    <w:qFormat/>
    <w:uiPriority w:val="99"/>
    <w:pPr>
      <w:ind w:left="100" w:leftChars="2500"/>
    </w:pPr>
  </w:style>
  <w:style w:type="paragraph" w:styleId="14">
    <w:name w:val="Balloon Text"/>
    <w:basedOn w:val="1"/>
    <w:link w:val="31"/>
    <w:unhideWhenUsed/>
    <w:qFormat/>
    <w:uiPriority w:val="99"/>
    <w:pPr>
      <w:spacing w:after="0"/>
    </w:pPr>
    <w:rPr>
      <w:sz w:val="18"/>
      <w:szCs w:val="18"/>
    </w:rPr>
  </w:style>
  <w:style w:type="paragraph" w:styleId="15">
    <w:name w:val="footer"/>
    <w:basedOn w:val="1"/>
    <w:link w:val="22"/>
    <w:unhideWhenUsed/>
    <w:qFormat/>
    <w:uiPriority w:val="99"/>
    <w:pPr>
      <w:tabs>
        <w:tab w:val="center" w:pos="4153"/>
        <w:tab w:val="right" w:pos="8306"/>
      </w:tabs>
    </w:pPr>
    <w:rPr>
      <w:sz w:val="18"/>
      <w:szCs w:val="18"/>
    </w:rPr>
  </w:style>
  <w:style w:type="paragraph" w:styleId="16">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7">
    <w:name w:val="Normal (Web)"/>
    <w:basedOn w:val="1"/>
    <w:qFormat/>
    <w:uiPriority w:val="0"/>
    <w:pPr>
      <w:adjustRightInd/>
      <w:snapToGrid/>
      <w:spacing w:before="75" w:after="150" w:line="384" w:lineRule="atLeast"/>
      <w:ind w:firstLine="240"/>
    </w:pPr>
    <w:rPr>
      <w:rFonts w:ascii="Arial" w:hAnsi="Arial" w:eastAsia="宋体" w:cs="Arial"/>
      <w:sz w:val="18"/>
      <w:szCs w:val="18"/>
    </w:rPr>
  </w:style>
  <w:style w:type="character" w:styleId="20">
    <w:name w:val="page number"/>
    <w:basedOn w:val="19"/>
    <w:qFormat/>
    <w:uiPriority w:val="99"/>
    <w:rPr>
      <w:rFonts w:cs="Times New Roman"/>
    </w:rPr>
  </w:style>
  <w:style w:type="character" w:customStyle="1" w:styleId="21">
    <w:name w:val="页眉 Char"/>
    <w:basedOn w:val="19"/>
    <w:link w:val="16"/>
    <w:qFormat/>
    <w:uiPriority w:val="99"/>
    <w:rPr>
      <w:sz w:val="18"/>
      <w:szCs w:val="18"/>
    </w:rPr>
  </w:style>
  <w:style w:type="character" w:customStyle="1" w:styleId="22">
    <w:name w:val="页脚 Char"/>
    <w:basedOn w:val="19"/>
    <w:link w:val="15"/>
    <w:qFormat/>
    <w:uiPriority w:val="99"/>
    <w:rPr>
      <w:sz w:val="18"/>
      <w:szCs w:val="18"/>
    </w:rPr>
  </w:style>
  <w:style w:type="character" w:customStyle="1" w:styleId="23">
    <w:name w:val="标题 1 Char"/>
    <w:basedOn w:val="19"/>
    <w:link w:val="4"/>
    <w:qFormat/>
    <w:uiPriority w:val="99"/>
    <w:rPr>
      <w:rFonts w:ascii="Times New Roman" w:hAnsi="Times New Roman" w:eastAsia="宋体" w:cs="Times New Roman"/>
      <w:b/>
      <w:bCs/>
      <w:kern w:val="44"/>
      <w:sz w:val="32"/>
      <w:szCs w:val="32"/>
    </w:rPr>
  </w:style>
  <w:style w:type="character" w:customStyle="1" w:styleId="24">
    <w:name w:val="标题 2 Char"/>
    <w:basedOn w:val="19"/>
    <w:link w:val="5"/>
    <w:qFormat/>
    <w:uiPriority w:val="0"/>
    <w:rPr>
      <w:rFonts w:ascii="Arial" w:hAnsi="Arial" w:eastAsia="黑体" w:cs="Times New Roman"/>
      <w:b/>
      <w:bCs/>
      <w:sz w:val="32"/>
      <w:szCs w:val="32"/>
    </w:rPr>
  </w:style>
  <w:style w:type="paragraph" w:customStyle="1" w:styleId="25">
    <w:name w:val="样式 宋体 小四 加粗 左 行距: 固定值 20 磅"/>
    <w:basedOn w:val="1"/>
    <w:qFormat/>
    <w:uiPriority w:val="0"/>
    <w:pPr>
      <w:widowControl w:val="0"/>
      <w:adjustRightInd/>
      <w:snapToGrid/>
      <w:spacing w:after="0" w:line="400" w:lineRule="exact"/>
      <w:ind w:firstLine="196" w:firstLineChars="196"/>
      <w:outlineLvl w:val="2"/>
    </w:pPr>
    <w:rPr>
      <w:rFonts w:ascii="宋体" w:hAnsi="宋体" w:eastAsia="宋体" w:cs="宋体"/>
      <w:b/>
      <w:bCs/>
      <w:sz w:val="24"/>
      <w:szCs w:val="20"/>
    </w:rPr>
  </w:style>
  <w:style w:type="paragraph" w:customStyle="1" w:styleId="26">
    <w:name w:val="List Paragraph"/>
    <w:basedOn w:val="1"/>
    <w:qFormat/>
    <w:uiPriority w:val="34"/>
    <w:pPr>
      <w:ind w:firstLine="420" w:firstLineChars="200"/>
    </w:pPr>
  </w:style>
  <w:style w:type="character" w:customStyle="1" w:styleId="27">
    <w:name w:val="标题 3 Char"/>
    <w:basedOn w:val="19"/>
    <w:link w:val="6"/>
    <w:qFormat/>
    <w:uiPriority w:val="9"/>
    <w:rPr>
      <w:rFonts w:ascii="Tahoma" w:hAnsi="Tahoma" w:eastAsia="微软雅黑" w:cs="Times New Roman"/>
      <w:b/>
      <w:bCs/>
      <w:kern w:val="0"/>
      <w:sz w:val="32"/>
      <w:szCs w:val="32"/>
    </w:rPr>
  </w:style>
  <w:style w:type="character" w:customStyle="1" w:styleId="28">
    <w:name w:val="标题 4 Char"/>
    <w:basedOn w:val="19"/>
    <w:link w:val="7"/>
    <w:qFormat/>
    <w:uiPriority w:val="9"/>
    <w:rPr>
      <w:rFonts w:asciiTheme="majorHAnsi" w:hAnsiTheme="majorHAnsi" w:eastAsiaTheme="majorEastAsia" w:cstheme="majorBidi"/>
      <w:b/>
      <w:bCs/>
      <w:kern w:val="0"/>
      <w:sz w:val="28"/>
      <w:szCs w:val="28"/>
    </w:rPr>
  </w:style>
  <w:style w:type="character" w:customStyle="1" w:styleId="29">
    <w:name w:val="正文文本缩进 Char"/>
    <w:basedOn w:val="19"/>
    <w:link w:val="3"/>
    <w:qFormat/>
    <w:uiPriority w:val="99"/>
    <w:rPr>
      <w:rFonts w:ascii="Times New Roman" w:hAnsi="Times New Roman" w:eastAsia="宋体" w:cs="Times New Roman"/>
      <w:szCs w:val="21"/>
    </w:rPr>
  </w:style>
  <w:style w:type="character" w:customStyle="1" w:styleId="30">
    <w:name w:val="正文首行缩进 2 Char"/>
    <w:basedOn w:val="29"/>
    <w:link w:val="2"/>
    <w:qFormat/>
    <w:uiPriority w:val="0"/>
    <w:rPr>
      <w:rFonts w:ascii="宋体" w:hAnsi="宋体" w:eastAsia="宋体" w:cs="宋体"/>
      <w:szCs w:val="21"/>
    </w:rPr>
  </w:style>
  <w:style w:type="character" w:customStyle="1" w:styleId="31">
    <w:name w:val="批注框文本 Char"/>
    <w:basedOn w:val="19"/>
    <w:link w:val="14"/>
    <w:semiHidden/>
    <w:qFormat/>
    <w:uiPriority w:val="99"/>
    <w:rPr>
      <w:rFonts w:ascii="Tahoma" w:hAnsi="Tahoma" w:eastAsia="微软雅黑"/>
      <w:sz w:val="18"/>
      <w:szCs w:val="18"/>
    </w:rPr>
  </w:style>
  <w:style w:type="character" w:customStyle="1" w:styleId="32">
    <w:name w:val="日期 Char"/>
    <w:basedOn w:val="19"/>
    <w:link w:val="13"/>
    <w:semiHidden/>
    <w:qFormat/>
    <w:uiPriority w:val="99"/>
    <w:rPr>
      <w:rFonts w:ascii="Tahoma" w:hAnsi="Tahoma" w:eastAsia="微软雅黑"/>
      <w:sz w:val="22"/>
      <w:szCs w:val="22"/>
    </w:rPr>
  </w:style>
  <w:style w:type="character" w:customStyle="1" w:styleId="33">
    <w:name w:val="纯文本 Char"/>
    <w:link w:val="12"/>
    <w:qFormat/>
    <w:uiPriority w:val="0"/>
    <w:rPr>
      <w:rFonts w:ascii="宋体" w:hAnsi="Courier New"/>
      <w:kern w:val="2"/>
      <w:sz w:val="24"/>
      <w:szCs w:val="24"/>
    </w:rPr>
  </w:style>
  <w:style w:type="character" w:customStyle="1" w:styleId="34">
    <w:name w:val="纯文本 Char1"/>
    <w:basedOn w:val="19"/>
    <w:semiHidden/>
    <w:qFormat/>
    <w:uiPriority w:val="99"/>
    <w:rPr>
      <w:rFonts w:ascii="宋体" w:hAnsi="Courier New" w:cs="Courier New"/>
      <w:sz w:val="21"/>
      <w:szCs w:val="21"/>
    </w:rPr>
  </w:style>
  <w:style w:type="character" w:customStyle="1" w:styleId="3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22</Pages>
  <Words>9286</Words>
  <Characters>10003</Characters>
  <Lines>75</Lines>
  <Paragraphs>21</Paragraphs>
  <TotalTime>32</TotalTime>
  <ScaleCrop>false</ScaleCrop>
  <LinksUpToDate>false</LinksUpToDate>
  <CharactersWithSpaces>10776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2019-03-20T14:48:00Z</dcterms:created>
  <dc:creator>admin</dc:creator>
  <cp:lastModifiedBy>jj</cp:lastModifiedBy>
  <cp:lastPrinted>2022-06-07T01:40:00Z</cp:lastPrinted>
  <dcterms:modified xsi:type="dcterms:W3CDTF">2022-08-01T07:08:49Z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59C0C3B473A842E6866E5A71C6DD9ABA</vt:lpwstr>
  </property>
</Properties>
</file>